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FFA" w:rsidRPr="00D130A7" w:rsidRDefault="004F0FFA" w:rsidP="004F0FFA">
      <w:pPr>
        <w:tabs>
          <w:tab w:val="right" w:pos="9630"/>
        </w:tabs>
        <w:jc w:val="both"/>
        <w:rPr>
          <w:rFonts w:ascii="Arial" w:hAnsi="Arial" w:cs="Arial"/>
          <w:b/>
          <w:sz w:val="24"/>
          <w:szCs w:val="24"/>
        </w:rPr>
      </w:pPr>
      <w:r>
        <w:rPr>
          <w:rFonts w:ascii="Arial" w:hAnsi="Arial" w:cs="Arial"/>
          <w:b/>
          <w:sz w:val="24"/>
          <w:szCs w:val="24"/>
        </w:rPr>
        <w:t>3GPP TSG-RAN WG4 Meeting #9</w:t>
      </w:r>
      <w:r>
        <w:rPr>
          <w:rFonts w:ascii="Arial" w:hAnsi="Arial" w:cs="Arial" w:hint="eastAsia"/>
          <w:b/>
          <w:sz w:val="24"/>
          <w:szCs w:val="24"/>
          <w:lang w:eastAsia="ja-JP"/>
        </w:rPr>
        <w:t>4</w:t>
      </w:r>
      <w:r w:rsidR="00E33A7E">
        <w:rPr>
          <w:rFonts w:ascii="Arial" w:hAnsi="Arial" w:cs="Arial"/>
          <w:b/>
          <w:sz w:val="24"/>
          <w:szCs w:val="24"/>
          <w:lang w:eastAsia="ja-JP"/>
        </w:rPr>
        <w:t>-e-</w:t>
      </w:r>
      <w:r>
        <w:rPr>
          <w:rFonts w:ascii="Arial" w:hAnsi="Arial" w:cs="Arial" w:hint="eastAsia"/>
          <w:b/>
          <w:sz w:val="24"/>
          <w:szCs w:val="24"/>
          <w:lang w:eastAsia="ja-JP"/>
        </w:rPr>
        <w:t>bis</w:t>
      </w:r>
      <w:r w:rsidRPr="004C67E0">
        <w:rPr>
          <w:rFonts w:ascii="Arial" w:hAnsi="Arial" w:cs="Arial"/>
          <w:b/>
          <w:sz w:val="24"/>
          <w:szCs w:val="24"/>
        </w:rPr>
        <w:tab/>
      </w:r>
      <w:r w:rsidRPr="00E92BF1">
        <w:rPr>
          <w:rFonts w:ascii="Arial" w:hAnsi="Arial" w:cs="Arial"/>
          <w:b/>
          <w:sz w:val="24"/>
          <w:szCs w:val="24"/>
        </w:rPr>
        <w:t>R4-</w:t>
      </w:r>
      <w:r w:rsidR="00C8483B">
        <w:rPr>
          <w:rFonts w:ascii="Arial" w:hAnsi="Arial" w:cs="Arial" w:hint="eastAsia"/>
          <w:b/>
          <w:sz w:val="24"/>
          <w:szCs w:val="24"/>
          <w:lang w:eastAsia="ja-JP"/>
        </w:rPr>
        <w:t>2004829</w:t>
      </w:r>
      <w:bookmarkStart w:id="0" w:name="_GoBack"/>
      <w:bookmarkEnd w:id="0"/>
    </w:p>
    <w:p w:rsidR="004F0FFA" w:rsidRPr="00D130A7" w:rsidRDefault="00E33A7E" w:rsidP="004F0FFA">
      <w:pPr>
        <w:tabs>
          <w:tab w:val="left" w:pos="1985"/>
        </w:tabs>
        <w:jc w:val="both"/>
        <w:rPr>
          <w:rFonts w:ascii="Arial" w:hAnsi="Arial"/>
          <w:b/>
          <w:sz w:val="24"/>
          <w:lang w:val="en-US"/>
        </w:rPr>
      </w:pPr>
      <w:r>
        <w:rPr>
          <w:rFonts w:ascii="Arial" w:hAnsi="Arial"/>
          <w:b/>
          <w:sz w:val="24"/>
          <w:szCs w:val="24"/>
          <w:lang w:eastAsia="zh-CN"/>
        </w:rPr>
        <w:t>Electronic Meeting, 20 April</w:t>
      </w:r>
      <w:r w:rsidR="004F0FFA">
        <w:rPr>
          <w:rFonts w:ascii="Arial" w:hAnsi="Arial"/>
          <w:b/>
          <w:sz w:val="24"/>
          <w:szCs w:val="24"/>
          <w:lang w:eastAsia="zh-CN"/>
        </w:rPr>
        <w:t xml:space="preserve"> – </w:t>
      </w:r>
      <w:r w:rsidR="004F0FFA">
        <w:rPr>
          <w:rFonts w:ascii="Arial" w:eastAsiaTheme="minorEastAsia" w:hAnsi="Arial" w:hint="eastAsia"/>
          <w:b/>
          <w:sz w:val="24"/>
          <w:szCs w:val="24"/>
          <w:lang w:eastAsia="ja-JP"/>
        </w:rPr>
        <w:t>30</w:t>
      </w:r>
      <w:r w:rsidR="004F0FFA">
        <w:rPr>
          <w:rFonts w:ascii="Arial" w:hAnsi="Arial"/>
          <w:b/>
          <w:sz w:val="24"/>
          <w:szCs w:val="24"/>
          <w:lang w:eastAsia="zh-CN"/>
        </w:rPr>
        <w:t xml:space="preserve"> April</w:t>
      </w:r>
      <w:r w:rsidR="004F0FFA" w:rsidRPr="00236FF2">
        <w:rPr>
          <w:rFonts w:ascii="Arial" w:hAnsi="Arial"/>
          <w:b/>
          <w:sz w:val="24"/>
          <w:szCs w:val="24"/>
          <w:lang w:eastAsia="zh-CN"/>
        </w:rPr>
        <w:t>, 2020</w:t>
      </w:r>
    </w:p>
    <w:p w:rsidR="00DD43F2" w:rsidRPr="004F0FFA" w:rsidRDefault="00DD43F2" w:rsidP="00DD43F2">
      <w:pPr>
        <w:pStyle w:val="CRCoverPage"/>
        <w:tabs>
          <w:tab w:val="right" w:pos="9639"/>
        </w:tabs>
        <w:spacing w:after="0"/>
        <w:rPr>
          <w:rFonts w:eastAsia="ＭＳ 明朝" w:cs="Arial"/>
          <w:b/>
          <w:sz w:val="24"/>
          <w:szCs w:val="24"/>
          <w:lang w:val="en-US" w:eastAsia="ja-JP"/>
        </w:rPr>
      </w:pPr>
    </w:p>
    <w:p w:rsidR="00DD43F2" w:rsidRPr="00406D33" w:rsidRDefault="00DD43F2" w:rsidP="00DD43F2">
      <w:pPr>
        <w:tabs>
          <w:tab w:val="left" w:pos="1985"/>
        </w:tabs>
        <w:spacing w:after="180"/>
        <w:rPr>
          <w:rFonts w:ascii="Arial" w:eastAsia="ＭＳ 明朝" w:hAnsi="Arial"/>
          <w:sz w:val="24"/>
          <w:lang w:val="fr-FR" w:eastAsia="ja-JP"/>
        </w:rPr>
      </w:pPr>
      <w:r w:rsidRPr="00406D33">
        <w:rPr>
          <w:rFonts w:ascii="Arial" w:hAnsi="Arial"/>
          <w:b/>
          <w:sz w:val="24"/>
          <w:lang w:val="fr-FR"/>
        </w:rPr>
        <w:t xml:space="preserve">Source: </w:t>
      </w:r>
      <w:r w:rsidRPr="00406D33">
        <w:rPr>
          <w:rFonts w:ascii="Arial" w:hAnsi="Arial"/>
          <w:b/>
          <w:sz w:val="24"/>
          <w:lang w:val="fr-FR"/>
        </w:rPr>
        <w:tab/>
      </w:r>
      <w:r w:rsidRPr="00406D33">
        <w:rPr>
          <w:rFonts w:ascii="Arial" w:eastAsia="ＭＳ 明朝" w:hAnsi="Arial" w:hint="eastAsia"/>
          <w:sz w:val="24"/>
          <w:lang w:val="en-US"/>
        </w:rPr>
        <w:t>NTT DOCOMO, INC.</w:t>
      </w:r>
    </w:p>
    <w:p w:rsidR="00DD43F2" w:rsidRPr="00406D33" w:rsidRDefault="00DD43F2" w:rsidP="00247017">
      <w:pPr>
        <w:tabs>
          <w:tab w:val="left" w:pos="2700"/>
        </w:tabs>
        <w:spacing w:after="180"/>
        <w:ind w:left="1980" w:hanging="1980"/>
        <w:rPr>
          <w:rFonts w:ascii="Arial" w:eastAsiaTheme="minorEastAsia" w:hAnsi="Arial"/>
          <w:sz w:val="24"/>
          <w:lang w:val="en-US" w:eastAsia="ja-JP"/>
        </w:rPr>
      </w:pPr>
      <w:r w:rsidRPr="00406D33">
        <w:rPr>
          <w:rFonts w:ascii="Arial" w:hAnsi="Arial"/>
          <w:b/>
          <w:sz w:val="24"/>
          <w:lang w:val="en-US"/>
        </w:rPr>
        <w:t>Title:</w:t>
      </w:r>
      <w:r w:rsidRPr="00406D33">
        <w:rPr>
          <w:rFonts w:ascii="Arial" w:hAnsi="Arial"/>
          <w:sz w:val="24"/>
          <w:lang w:val="en-US"/>
        </w:rPr>
        <w:t xml:space="preserve"> </w:t>
      </w:r>
      <w:r w:rsidRPr="00406D33">
        <w:rPr>
          <w:rFonts w:ascii="Arial" w:hAnsi="Arial"/>
          <w:sz w:val="24"/>
          <w:lang w:val="en-US"/>
        </w:rPr>
        <w:tab/>
      </w:r>
      <w:r w:rsidR="006761C0" w:rsidRPr="006761C0">
        <w:rPr>
          <w:rFonts w:ascii="Arial" w:hAnsi="Arial"/>
          <w:sz w:val="24"/>
          <w:lang w:val="en-US"/>
        </w:rPr>
        <w:t xml:space="preserve">Further discussion on </w:t>
      </w:r>
      <w:r w:rsidR="00AC0E6E">
        <w:rPr>
          <w:rFonts w:ascii="Arial" w:hAnsi="Arial"/>
          <w:sz w:val="24"/>
          <w:lang w:val="en-US"/>
        </w:rPr>
        <w:t>Spherical coverage enhancement</w:t>
      </w:r>
    </w:p>
    <w:p w:rsidR="00285B82" w:rsidRPr="00250975" w:rsidRDefault="00DD43F2" w:rsidP="00DD43F2">
      <w:pPr>
        <w:tabs>
          <w:tab w:val="left" w:pos="1985"/>
        </w:tabs>
        <w:spacing w:after="180"/>
        <w:rPr>
          <w:rFonts w:ascii="Arial" w:eastAsiaTheme="minorEastAsia" w:hAnsi="Arial"/>
          <w:sz w:val="24"/>
          <w:lang w:val="pt-BR" w:eastAsia="ja-JP"/>
        </w:rPr>
      </w:pPr>
      <w:r w:rsidRPr="00406D33">
        <w:rPr>
          <w:rFonts w:ascii="Arial" w:hAnsi="Arial"/>
          <w:b/>
          <w:sz w:val="24"/>
          <w:lang w:val="pt-BR"/>
        </w:rPr>
        <w:t>Agenda item:</w:t>
      </w:r>
      <w:r w:rsidRPr="00406D33">
        <w:rPr>
          <w:rFonts w:ascii="Arial" w:hAnsi="Arial"/>
          <w:sz w:val="24"/>
          <w:lang w:val="pt-BR"/>
        </w:rPr>
        <w:tab/>
      </w:r>
      <w:r w:rsidR="000D1661" w:rsidRPr="000D1661">
        <w:rPr>
          <w:rFonts w:ascii="Arial" w:eastAsiaTheme="minorEastAsia" w:hAnsi="Arial" w:hint="eastAsia"/>
          <w:sz w:val="24"/>
          <w:lang w:val="pt-BR" w:eastAsia="ja-JP"/>
        </w:rPr>
        <w:t>6.14.1.7</w:t>
      </w:r>
    </w:p>
    <w:p w:rsidR="00DD43F2" w:rsidRPr="00972D90" w:rsidRDefault="00DD43F2" w:rsidP="00DD43F2">
      <w:pPr>
        <w:tabs>
          <w:tab w:val="left" w:pos="1985"/>
        </w:tabs>
        <w:ind w:left="1980" w:hanging="1980"/>
        <w:rPr>
          <w:rStyle w:val="a4"/>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sidR="00D321A6">
        <w:rPr>
          <w:rFonts w:ascii="Arial" w:eastAsia="ＭＳ 明朝" w:hAnsi="Arial"/>
          <w:sz w:val="24"/>
          <w:lang w:val="pt-BR" w:eastAsia="ja-JP"/>
        </w:rPr>
        <w:t>Approval</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3B48AA" w:rsidRPr="003B48AA" w:rsidRDefault="005548E4" w:rsidP="008F335B">
      <w:pPr>
        <w:ind w:firstLineChars="50" w:firstLine="100"/>
        <w:rPr>
          <w:rFonts w:eastAsiaTheme="minorEastAsia"/>
          <w:lang w:eastAsia="ja-JP"/>
        </w:rPr>
      </w:pPr>
      <w:r>
        <w:rPr>
          <w:rFonts w:eastAsiaTheme="minorEastAsia"/>
          <w:lang w:eastAsia="ja-JP"/>
        </w:rPr>
        <w:t>RAN4 have been discussing</w:t>
      </w:r>
      <w:r w:rsidR="00133725">
        <w:rPr>
          <w:rFonts w:eastAsiaTheme="minorEastAsia"/>
          <w:lang w:eastAsia="ja-JP"/>
        </w:rPr>
        <w:t xml:space="preserve"> Rel-16 FR2 spherical coverage enhancement, which is a scope of Rel-16 WI for FR2 UE RF enhancement</w:t>
      </w:r>
      <w:r w:rsidR="00BC64BA">
        <w:rPr>
          <w:rFonts w:eastAsiaTheme="minorEastAsia"/>
          <w:lang w:eastAsia="ja-JP"/>
        </w:rPr>
        <w:t xml:space="preserve"> </w:t>
      </w:r>
      <w:r w:rsidR="00D558A0">
        <w:rPr>
          <w:rFonts w:eastAsiaTheme="minorEastAsia"/>
          <w:lang w:eastAsia="ja-JP"/>
        </w:rPr>
        <w:t>[1]</w:t>
      </w:r>
      <w:r>
        <w:rPr>
          <w:rFonts w:eastAsiaTheme="minorEastAsia"/>
          <w:lang w:eastAsia="ja-JP"/>
        </w:rPr>
        <w:t xml:space="preserve">. In the previous meeting, the only consensus in RAN4 was that </w:t>
      </w:r>
      <w:r w:rsidR="000355B9">
        <w:rPr>
          <w:rFonts w:eastAsiaTheme="minorEastAsia"/>
          <w:lang w:eastAsia="ja-JP"/>
        </w:rPr>
        <w:t xml:space="preserve">seeking </w:t>
      </w:r>
      <w:r>
        <w:rPr>
          <w:rFonts w:eastAsiaTheme="minorEastAsia"/>
          <w:lang w:eastAsia="ja-JP"/>
        </w:rPr>
        <w:t>new factor is also one of options to enhance spherical coverage, and there is different understanding between companies.</w:t>
      </w:r>
      <w:r w:rsidR="00133725">
        <w:rPr>
          <w:rFonts w:eastAsiaTheme="minorEastAsia"/>
          <w:lang w:eastAsia="ja-JP"/>
        </w:rPr>
        <w:t xml:space="preserve"> </w:t>
      </w:r>
      <w:r w:rsidR="004B2D28">
        <w:rPr>
          <w:rFonts w:eastAsiaTheme="minorEastAsia"/>
          <w:lang w:eastAsia="ja-JP"/>
        </w:rPr>
        <w:t>This paper</w:t>
      </w:r>
      <w:r>
        <w:rPr>
          <w:rFonts w:eastAsiaTheme="minorEastAsia"/>
          <w:lang w:eastAsia="ja-JP"/>
        </w:rPr>
        <w:t xml:space="preserve"> further discuss this topic.</w:t>
      </w:r>
      <w:r w:rsidR="00133725">
        <w:rPr>
          <w:rFonts w:eastAsiaTheme="minorEastAsia"/>
          <w:lang w:eastAsia="ja-JP"/>
        </w:rPr>
        <w:t xml:space="preserve">  </w:t>
      </w:r>
    </w:p>
    <w:p w:rsidR="002D5327" w:rsidRPr="006B6A7F" w:rsidRDefault="00684A07" w:rsidP="00010F9D">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6B6A7F" w:rsidRPr="006B6A7F" w:rsidRDefault="006B6A7F" w:rsidP="006B6A7F">
      <w:pPr>
        <w:pStyle w:val="2"/>
      </w:pPr>
      <w:r>
        <w:rPr>
          <w:rFonts w:hint="eastAsia"/>
        </w:rPr>
        <w:t>2.1</w:t>
      </w:r>
      <w:r>
        <w:t xml:space="preserve"> </w:t>
      </w:r>
      <w:r w:rsidR="00970C12">
        <w:t>Agreements</w:t>
      </w:r>
    </w:p>
    <w:p w:rsidR="009F3C24" w:rsidRPr="00D10FF3" w:rsidRDefault="00D10FF3" w:rsidP="00010F9D">
      <w:pPr>
        <w:rPr>
          <w:rFonts w:eastAsiaTheme="minorEastAsia"/>
          <w:lang w:eastAsia="ja-JP"/>
        </w:rPr>
      </w:pPr>
      <w:r w:rsidRPr="00D10FF3">
        <w:rPr>
          <w:rFonts w:eastAsiaTheme="minorEastAsia" w:hint="eastAsia"/>
          <w:lang w:eastAsia="ja-JP"/>
        </w:rPr>
        <w:t>As a refer</w:t>
      </w:r>
      <w:r>
        <w:rPr>
          <w:rFonts w:eastAsiaTheme="minorEastAsia" w:hint="eastAsia"/>
          <w:lang w:eastAsia="ja-JP"/>
        </w:rPr>
        <w:t>ence, t</w:t>
      </w:r>
      <w:r w:rsidR="00AC0E6E">
        <w:rPr>
          <w:rFonts w:eastAsiaTheme="minorEastAsia" w:hint="eastAsia"/>
          <w:lang w:eastAsia="ja-JP"/>
        </w:rPr>
        <w:t>he below is the agreed contents</w:t>
      </w:r>
      <w:r w:rsidRPr="00D10FF3">
        <w:rPr>
          <w:rFonts w:eastAsiaTheme="minorEastAsia" w:hint="eastAsia"/>
          <w:lang w:eastAsia="ja-JP"/>
        </w:rPr>
        <w:t xml:space="preserve"> </w:t>
      </w:r>
      <w:r w:rsidRPr="00D10FF3">
        <w:rPr>
          <w:rFonts w:eastAsiaTheme="minorEastAsia"/>
          <w:lang w:eastAsia="ja-JP"/>
        </w:rPr>
        <w:t xml:space="preserve">proposed </w:t>
      </w:r>
      <w:r w:rsidR="00472DF7">
        <w:rPr>
          <w:rFonts w:eastAsiaTheme="minorEastAsia" w:hint="eastAsia"/>
          <w:lang w:eastAsia="ja-JP"/>
        </w:rPr>
        <w:t>in [2</w:t>
      </w:r>
      <w:r w:rsidRPr="00D10FF3">
        <w:rPr>
          <w:rFonts w:eastAsiaTheme="minorEastAsia" w:hint="eastAsia"/>
          <w:lang w:eastAsia="ja-JP"/>
        </w:rPr>
        <w:t>]</w:t>
      </w:r>
      <w:r w:rsidR="0071549C">
        <w:rPr>
          <w:rFonts w:eastAsiaTheme="minorEastAsia"/>
          <w:lang w:eastAsia="ja-JP"/>
        </w:rPr>
        <w:t>:</w:t>
      </w:r>
    </w:p>
    <w:p w:rsidR="00D10FF3" w:rsidRPr="00D10FF3" w:rsidRDefault="00D10FF3" w:rsidP="00010F9D">
      <w:pPr>
        <w:rPr>
          <w:rFonts w:eastAsiaTheme="minorEastAsia"/>
          <w:b/>
          <w:lang w:eastAsia="ja-JP"/>
        </w:rPr>
      </w:pPr>
    </w:p>
    <w:p w:rsidR="00D10FF3" w:rsidRDefault="00AC0E6E" w:rsidP="00D10FF3">
      <w:pPr>
        <w:rPr>
          <w:rFonts w:eastAsiaTheme="minorEastAsia"/>
          <w:b/>
          <w:lang w:eastAsia="ja-JP"/>
        </w:rPr>
      </w:pPr>
      <w:r>
        <w:rPr>
          <w:rFonts w:eastAsiaTheme="minorEastAsia"/>
          <w:b/>
          <w:noProof/>
          <w:lang w:val="en-US" w:eastAsia="ja-JP"/>
        </w:rPr>
        <w:drawing>
          <wp:inline distT="0" distB="0" distL="0" distR="0" wp14:anchorId="5DF3BA30">
            <wp:extent cx="4756150" cy="2403758"/>
            <wp:effectExtent l="19050" t="19050" r="25400" b="158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84208" cy="2417939"/>
                    </a:xfrm>
                    <a:prstGeom prst="rect">
                      <a:avLst/>
                    </a:prstGeom>
                    <a:noFill/>
                    <a:ln>
                      <a:solidFill>
                        <a:srgbClr val="FF0000"/>
                      </a:solidFill>
                    </a:ln>
                  </pic:spPr>
                </pic:pic>
              </a:graphicData>
            </a:graphic>
          </wp:inline>
        </w:drawing>
      </w:r>
    </w:p>
    <w:p w:rsidR="00D10FF3" w:rsidRDefault="005548E4" w:rsidP="00010F9D">
      <w:pPr>
        <w:rPr>
          <w:rFonts w:eastAsiaTheme="minorEastAsia"/>
          <w:lang w:eastAsia="ja-JP"/>
        </w:rPr>
      </w:pPr>
      <w:r w:rsidRPr="00D10FF3">
        <w:rPr>
          <w:rFonts w:eastAsiaTheme="minorEastAsia" w:hint="eastAsia"/>
          <w:lang w:eastAsia="ja-JP"/>
        </w:rPr>
        <w:t>As a refer</w:t>
      </w:r>
      <w:r>
        <w:rPr>
          <w:rFonts w:eastAsiaTheme="minorEastAsia" w:hint="eastAsia"/>
          <w:lang w:eastAsia="ja-JP"/>
        </w:rPr>
        <w:t>ence, the below is the agreed contents</w:t>
      </w:r>
      <w:r w:rsidRPr="00D10FF3">
        <w:rPr>
          <w:rFonts w:eastAsiaTheme="minorEastAsia" w:hint="eastAsia"/>
          <w:lang w:eastAsia="ja-JP"/>
        </w:rPr>
        <w:t xml:space="preserve"> </w:t>
      </w:r>
      <w:r w:rsidRPr="00D10FF3">
        <w:rPr>
          <w:rFonts w:eastAsiaTheme="minorEastAsia"/>
          <w:lang w:eastAsia="ja-JP"/>
        </w:rPr>
        <w:t xml:space="preserve">proposed </w:t>
      </w:r>
      <w:r>
        <w:rPr>
          <w:rFonts w:eastAsiaTheme="minorEastAsia" w:hint="eastAsia"/>
          <w:lang w:eastAsia="ja-JP"/>
        </w:rPr>
        <w:t>in [3</w:t>
      </w:r>
      <w:r w:rsidRPr="00D10FF3">
        <w:rPr>
          <w:rFonts w:eastAsiaTheme="minorEastAsia" w:hint="eastAsia"/>
          <w:lang w:eastAsia="ja-JP"/>
        </w:rPr>
        <w:t>]</w:t>
      </w:r>
      <w:r w:rsidR="0071549C">
        <w:rPr>
          <w:rFonts w:eastAsiaTheme="minorEastAsia"/>
          <w:lang w:eastAsia="ja-JP"/>
        </w:rPr>
        <w:t>:</w:t>
      </w:r>
    </w:p>
    <w:p w:rsidR="0071549C" w:rsidRDefault="0071549C" w:rsidP="00010F9D">
      <w:pPr>
        <w:rPr>
          <w:rFonts w:eastAsiaTheme="minorEastAsia"/>
          <w:lang w:eastAsia="ja-JP"/>
        </w:rPr>
      </w:pPr>
    </w:p>
    <w:p w:rsidR="005548E4" w:rsidRDefault="005548E4" w:rsidP="00010F9D">
      <w:pPr>
        <w:rPr>
          <w:rFonts w:eastAsiaTheme="minorEastAsia"/>
          <w:lang w:eastAsia="ja-JP"/>
        </w:rPr>
      </w:pPr>
      <w:r>
        <w:rPr>
          <w:rFonts w:eastAsiaTheme="minorEastAsia"/>
          <w:noProof/>
          <w:lang w:val="en-US" w:eastAsia="ja-JP"/>
        </w:rPr>
        <w:drawing>
          <wp:inline distT="0" distB="0" distL="0" distR="0" wp14:anchorId="6D85747B">
            <wp:extent cx="4776750" cy="1768851"/>
            <wp:effectExtent l="19050" t="19050" r="24130" b="222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24380" cy="1786489"/>
                    </a:xfrm>
                    <a:prstGeom prst="rect">
                      <a:avLst/>
                    </a:prstGeom>
                    <a:noFill/>
                    <a:ln>
                      <a:solidFill>
                        <a:srgbClr val="FF0000"/>
                      </a:solidFill>
                    </a:ln>
                  </pic:spPr>
                </pic:pic>
              </a:graphicData>
            </a:graphic>
          </wp:inline>
        </w:drawing>
      </w:r>
    </w:p>
    <w:p w:rsidR="005548E4" w:rsidRPr="005548E4" w:rsidRDefault="005548E4" w:rsidP="00010F9D">
      <w:pPr>
        <w:rPr>
          <w:b/>
          <w:lang w:eastAsia="zh-CN"/>
        </w:rPr>
      </w:pPr>
    </w:p>
    <w:p w:rsidR="004143CB" w:rsidRDefault="004143CB" w:rsidP="004143CB">
      <w:pPr>
        <w:pStyle w:val="2"/>
      </w:pPr>
      <w:r>
        <w:rPr>
          <w:rFonts w:hint="eastAsia"/>
        </w:rPr>
        <w:t>2.</w:t>
      </w:r>
      <w:r w:rsidR="000355B9">
        <w:t>2 New factor</w:t>
      </w:r>
    </w:p>
    <w:p w:rsidR="00C84678" w:rsidRDefault="000355B9" w:rsidP="00C84678">
      <w:pPr>
        <w:ind w:firstLineChars="50" w:firstLine="100"/>
        <w:rPr>
          <w:rFonts w:eastAsiaTheme="minorEastAsia"/>
          <w:lang w:eastAsia="ja-JP"/>
        </w:rPr>
      </w:pPr>
      <w:r>
        <w:rPr>
          <w:rFonts w:eastAsiaTheme="minorEastAsia"/>
          <w:lang w:eastAsia="ja-JP"/>
        </w:rPr>
        <w:t>In the previous meeting, the only consensus was that seeking new factor is also one of options to enhance spherical coverage performance. Considering feasible enhancement, we think we need to e</w:t>
      </w:r>
      <w:r w:rsidRPr="000355B9">
        <w:rPr>
          <w:rFonts w:eastAsiaTheme="minorEastAsia"/>
          <w:lang w:eastAsia="ja-JP"/>
        </w:rPr>
        <w:t>liminate bottlenecks</w:t>
      </w:r>
      <w:r>
        <w:rPr>
          <w:rFonts w:eastAsiaTheme="minorEastAsia"/>
          <w:lang w:eastAsia="ja-JP"/>
        </w:rPr>
        <w:t xml:space="preserve"> of spherical coverage enhancement. </w:t>
      </w:r>
      <w:r w:rsidR="0037614F">
        <w:rPr>
          <w:rFonts w:eastAsiaTheme="minorEastAsia"/>
          <w:lang w:eastAsia="ja-JP"/>
        </w:rPr>
        <w:t>One example is, which was</w:t>
      </w:r>
      <w:r>
        <w:rPr>
          <w:rFonts w:eastAsiaTheme="minorEastAsia"/>
          <w:lang w:eastAsia="ja-JP"/>
        </w:rPr>
        <w:t xml:space="preserve"> provided in [4]</w:t>
      </w:r>
      <w:r w:rsidR="0037614F">
        <w:rPr>
          <w:rFonts w:eastAsiaTheme="minorEastAsia"/>
          <w:lang w:eastAsia="ja-JP"/>
        </w:rPr>
        <w:t>, that UE can enhance its spherical coverage performance only when the bottlenecks of power consumption can be eliminate</w:t>
      </w:r>
      <w:r w:rsidR="008B1188">
        <w:rPr>
          <w:rFonts w:eastAsiaTheme="minorEastAsia"/>
          <w:lang w:eastAsia="ja-JP"/>
        </w:rPr>
        <w:t>d</w:t>
      </w:r>
      <w:r w:rsidR="0037614F">
        <w:rPr>
          <w:rFonts w:eastAsiaTheme="minorEastAsia"/>
          <w:lang w:eastAsia="ja-JP"/>
        </w:rPr>
        <w:t>, i.e., UE is connected to an external power supply.</w:t>
      </w:r>
      <w:r w:rsidR="00907310">
        <w:rPr>
          <w:rFonts w:eastAsiaTheme="minorEastAsia"/>
          <w:lang w:eastAsia="ja-JP"/>
        </w:rPr>
        <w:t xml:space="preserve"> One of </w:t>
      </w:r>
      <w:r w:rsidR="00907310">
        <w:rPr>
          <w:rFonts w:eastAsiaTheme="minorEastAsia"/>
          <w:lang w:eastAsia="ja-JP"/>
        </w:rPr>
        <w:lastRenderedPageBreak/>
        <w:t>other bottlenecks is the size of UE form, i.e., space where mmWave antenna module is limited.</w:t>
      </w:r>
      <w:r w:rsidR="0065263B">
        <w:rPr>
          <w:rFonts w:eastAsiaTheme="minorEastAsia"/>
          <w:lang w:eastAsia="ja-JP"/>
        </w:rPr>
        <w:t xml:space="preserve"> Therefore, one </w:t>
      </w:r>
      <w:r w:rsidR="00F751B4">
        <w:rPr>
          <w:rFonts w:eastAsiaTheme="minorEastAsia"/>
          <w:lang w:eastAsia="ja-JP"/>
        </w:rPr>
        <w:t xml:space="preserve">possible </w:t>
      </w:r>
      <w:r w:rsidR="0065263B">
        <w:rPr>
          <w:rFonts w:eastAsiaTheme="minorEastAsia"/>
          <w:lang w:eastAsia="ja-JP"/>
        </w:rPr>
        <w:t>approach is that if UE implement limited number of bands or mainly focus on FR2 bands, the UE can enhance spherical coverage.</w:t>
      </w:r>
      <w:r w:rsidR="00C84678">
        <w:rPr>
          <w:rFonts w:eastAsiaTheme="minorEastAsia"/>
          <w:lang w:eastAsia="ja-JP"/>
        </w:rPr>
        <w:t xml:space="preserve"> </w:t>
      </w:r>
      <w:r w:rsidR="00C84678" w:rsidRPr="00C84678">
        <w:rPr>
          <w:rFonts w:eastAsiaTheme="minorEastAsia"/>
          <w:lang w:eastAsia="ja-JP"/>
        </w:rPr>
        <w:t>Further</w:t>
      </w:r>
      <w:r w:rsidR="00C84678">
        <w:rPr>
          <w:rFonts w:eastAsiaTheme="minorEastAsia"/>
          <w:lang w:eastAsia="ja-JP"/>
        </w:rPr>
        <w:t xml:space="preserve">more, if </w:t>
      </w:r>
      <w:r w:rsidR="00C84678">
        <w:rPr>
          <w:rFonts w:eastAsiaTheme="minorEastAsia"/>
          <w:lang w:eastAsia="ja-JP"/>
        </w:rPr>
        <w:t xml:space="preserve">some of </w:t>
      </w:r>
      <w:r w:rsidR="00C84678">
        <w:rPr>
          <w:rFonts w:eastAsiaTheme="minorEastAsia"/>
          <w:lang w:eastAsia="ja-JP"/>
        </w:rPr>
        <w:t xml:space="preserve">bottlenecks are for </w:t>
      </w:r>
      <w:r w:rsidR="00C84678">
        <w:rPr>
          <w:rFonts w:eastAsiaTheme="minorEastAsia"/>
          <w:lang w:eastAsia="ja-JP"/>
        </w:rPr>
        <w:t xml:space="preserve">only </w:t>
      </w:r>
      <w:r w:rsidR="00C84678">
        <w:rPr>
          <w:rFonts w:eastAsiaTheme="minorEastAsia"/>
          <w:lang w:eastAsia="ja-JP"/>
        </w:rPr>
        <w:t>EIRP but not for EIS, we would like to know the possibility of spherical coverage EIS</w:t>
      </w:r>
      <w:r w:rsidR="00C84678">
        <w:rPr>
          <w:rFonts w:eastAsiaTheme="minorEastAsia"/>
          <w:lang w:eastAsia="ja-JP"/>
        </w:rPr>
        <w:t xml:space="preserve"> enhancement</w:t>
      </w:r>
      <w:r w:rsidR="00C84678">
        <w:rPr>
          <w:rFonts w:eastAsiaTheme="minorEastAsia"/>
          <w:lang w:eastAsia="ja-JP"/>
        </w:rPr>
        <w:t>.</w:t>
      </w:r>
    </w:p>
    <w:p w:rsidR="000355B9" w:rsidRPr="00C84678" w:rsidRDefault="000355B9" w:rsidP="00416CE3">
      <w:pPr>
        <w:ind w:firstLineChars="50" w:firstLine="100"/>
        <w:rPr>
          <w:rFonts w:eastAsiaTheme="minorEastAsia"/>
          <w:lang w:eastAsia="ja-JP"/>
        </w:rPr>
      </w:pPr>
    </w:p>
    <w:p w:rsidR="00416CE3" w:rsidRPr="00416CE3" w:rsidRDefault="00416CE3" w:rsidP="00416CE3">
      <w:pPr>
        <w:ind w:firstLineChars="50" w:firstLine="98"/>
        <w:rPr>
          <w:rFonts w:eastAsiaTheme="minorEastAsia"/>
          <w:b/>
          <w:u w:val="single"/>
          <w:lang w:eastAsia="ja-JP"/>
        </w:rPr>
      </w:pPr>
      <w:r w:rsidRPr="00416CE3">
        <w:rPr>
          <w:rFonts w:eastAsiaTheme="minorEastAsia"/>
          <w:b/>
          <w:u w:val="single"/>
          <w:lang w:eastAsia="ja-JP"/>
        </w:rPr>
        <w:t xml:space="preserve">Observation 1: </w:t>
      </w:r>
      <w:r w:rsidRPr="001C4F59">
        <w:rPr>
          <w:rFonts w:eastAsiaTheme="minorEastAsia"/>
          <w:b/>
          <w:lang w:eastAsia="ja-JP"/>
        </w:rPr>
        <w:t>One possible approach is to enhance spherical coverage performance when some of bottlenecks can be eliminated.</w:t>
      </w:r>
    </w:p>
    <w:p w:rsidR="00416CE3" w:rsidRDefault="00416CE3" w:rsidP="00416CE3">
      <w:pPr>
        <w:ind w:firstLineChars="50" w:firstLine="100"/>
        <w:rPr>
          <w:rFonts w:eastAsiaTheme="minorEastAsia"/>
          <w:lang w:eastAsia="ja-JP"/>
        </w:rPr>
      </w:pPr>
      <w:r>
        <w:rPr>
          <w:rFonts w:eastAsiaTheme="minorEastAsia"/>
          <w:lang w:eastAsia="ja-JP"/>
        </w:rPr>
        <w:t xml:space="preserve"> </w:t>
      </w:r>
    </w:p>
    <w:p w:rsidR="00416CE3" w:rsidRDefault="00416CE3" w:rsidP="00416CE3">
      <w:pPr>
        <w:ind w:firstLineChars="50" w:firstLine="98"/>
        <w:rPr>
          <w:rFonts w:eastAsiaTheme="minorEastAsia"/>
          <w:b/>
          <w:u w:val="single"/>
          <w:lang w:eastAsia="ja-JP"/>
        </w:rPr>
      </w:pPr>
      <w:r>
        <w:rPr>
          <w:rFonts w:eastAsiaTheme="minorEastAsia"/>
          <w:b/>
          <w:u w:val="single"/>
          <w:lang w:eastAsia="ja-JP"/>
        </w:rPr>
        <w:t xml:space="preserve">Proposal 1: </w:t>
      </w:r>
      <w:r w:rsidRPr="001C4F59">
        <w:rPr>
          <w:rFonts w:eastAsiaTheme="minorEastAsia"/>
          <w:b/>
          <w:lang w:eastAsia="ja-JP"/>
        </w:rPr>
        <w:t>RAN4 should clarify the bottlenecks of spherical coverage enhancement for handheld UE</w:t>
      </w:r>
      <w:r w:rsidR="00C84678" w:rsidRPr="001C4F59">
        <w:rPr>
          <w:rFonts w:eastAsiaTheme="minorEastAsia"/>
          <w:b/>
          <w:lang w:eastAsia="ja-JP"/>
        </w:rPr>
        <w:t xml:space="preserve">, where the analysis of </w:t>
      </w:r>
      <w:r w:rsidR="00D02D65" w:rsidRPr="001C4F59">
        <w:rPr>
          <w:rFonts w:eastAsiaTheme="minorEastAsia"/>
          <w:b/>
          <w:lang w:eastAsia="ja-JP"/>
        </w:rPr>
        <w:t xml:space="preserve">bottlenecks for </w:t>
      </w:r>
      <w:r w:rsidR="00C84678" w:rsidRPr="001C4F59">
        <w:rPr>
          <w:rFonts w:eastAsiaTheme="minorEastAsia"/>
          <w:b/>
          <w:lang w:eastAsia="ja-JP"/>
        </w:rPr>
        <w:t>spherical coverage EIRP and EIS should be conducted separately if needed</w:t>
      </w:r>
      <w:r w:rsidRPr="001C4F59">
        <w:rPr>
          <w:rFonts w:eastAsiaTheme="minorEastAsia"/>
          <w:b/>
          <w:lang w:eastAsia="ja-JP"/>
        </w:rPr>
        <w:t>.</w:t>
      </w:r>
    </w:p>
    <w:p w:rsidR="008B1188" w:rsidRDefault="008B1188" w:rsidP="0037614F">
      <w:pPr>
        <w:rPr>
          <w:rFonts w:eastAsiaTheme="minorEastAsia"/>
          <w:b/>
          <w:u w:val="single"/>
          <w:lang w:eastAsia="ja-JP"/>
        </w:rPr>
      </w:pPr>
    </w:p>
    <w:p w:rsidR="002D0C0A" w:rsidRDefault="002D0C0A" w:rsidP="002D0C0A">
      <w:pPr>
        <w:pStyle w:val="2"/>
      </w:pPr>
      <w:r>
        <w:t>2.3</w:t>
      </w:r>
      <w:r>
        <w:t xml:space="preserve"> </w:t>
      </w:r>
      <w:r w:rsidR="00F751B4">
        <w:t>Clarification on m</w:t>
      </w:r>
      <w:r>
        <w:t>andatory or optional feature</w:t>
      </w:r>
    </w:p>
    <w:p w:rsidR="002D0C0A" w:rsidRDefault="002D0C0A" w:rsidP="002D0C0A">
      <w:pPr>
        <w:rPr>
          <w:rFonts w:eastAsiaTheme="minorEastAsia"/>
          <w:lang w:eastAsia="ja-JP"/>
        </w:rPr>
      </w:pPr>
      <w:r>
        <w:rPr>
          <w:rFonts w:eastAsiaTheme="minorEastAsia"/>
          <w:lang w:eastAsia="ja-JP"/>
        </w:rPr>
        <w:t xml:space="preserve"> During the discussion, we saw strong objection to change existing PC3 requirement.</w:t>
      </w:r>
      <w:r>
        <w:rPr>
          <w:rFonts w:eastAsiaTheme="minorEastAsia"/>
          <w:lang w:eastAsia="ja-JP"/>
        </w:rPr>
        <w:t xml:space="preserve"> For clarification, our understanding is that the enhancement of spherical coverage is optional feature and does not touch existing PC3 requirement.</w:t>
      </w:r>
      <w:r w:rsidR="0040266C">
        <w:rPr>
          <w:rFonts w:eastAsiaTheme="minorEastAsia"/>
          <w:lang w:eastAsia="ja-JP"/>
        </w:rPr>
        <w:t xml:space="preserve"> The intension is that we saw that some of actual products have much margin compared to existing PC3 requirement, and thus we think there should be possibility of spherical coverage enhancement</w:t>
      </w:r>
      <w:r w:rsidR="008936B3">
        <w:rPr>
          <w:rFonts w:eastAsiaTheme="minorEastAsia"/>
          <w:lang w:eastAsia="ja-JP"/>
        </w:rPr>
        <w:t xml:space="preserve"> technically</w:t>
      </w:r>
      <w:r w:rsidR="0040266C">
        <w:rPr>
          <w:rFonts w:eastAsiaTheme="minorEastAsia"/>
          <w:lang w:eastAsia="ja-JP"/>
        </w:rPr>
        <w:t>.</w:t>
      </w:r>
      <w:r w:rsidR="008936B3">
        <w:rPr>
          <w:rFonts w:eastAsiaTheme="minorEastAsia"/>
          <w:lang w:eastAsia="ja-JP"/>
        </w:rPr>
        <w:t xml:space="preserve"> </w:t>
      </w:r>
      <w:r w:rsidR="002500F1">
        <w:rPr>
          <w:rFonts w:eastAsiaTheme="minorEastAsia"/>
          <w:lang w:eastAsia="ja-JP"/>
        </w:rPr>
        <w:t>We don’t try to overturn Rel-15 conclusion and exclude UE with 11.5dBm @ 50%-tile.</w:t>
      </w:r>
    </w:p>
    <w:p w:rsidR="00BA44A4" w:rsidRPr="002500F1" w:rsidRDefault="00BA44A4" w:rsidP="002D0C0A">
      <w:pPr>
        <w:rPr>
          <w:rFonts w:eastAsiaTheme="minorEastAsia"/>
          <w:lang w:eastAsia="ja-JP"/>
        </w:rPr>
      </w:pPr>
    </w:p>
    <w:p w:rsidR="008936B3" w:rsidRPr="002D0C0A" w:rsidRDefault="008936B3" w:rsidP="002D0C0A">
      <w:pPr>
        <w:rPr>
          <w:rFonts w:eastAsiaTheme="minorEastAsia" w:hint="eastAsia"/>
          <w:lang w:eastAsia="ja-JP"/>
        </w:rPr>
      </w:pPr>
      <w:r>
        <w:rPr>
          <w:rFonts w:eastAsiaTheme="minorEastAsia"/>
          <w:b/>
          <w:u w:val="single"/>
          <w:lang w:eastAsia="ja-JP"/>
        </w:rPr>
        <w:t>Proposal 2</w:t>
      </w:r>
      <w:r>
        <w:rPr>
          <w:rFonts w:eastAsiaTheme="minorEastAsia"/>
          <w:b/>
          <w:u w:val="single"/>
          <w:lang w:eastAsia="ja-JP"/>
        </w:rPr>
        <w:t xml:space="preserve">: </w:t>
      </w:r>
      <w:r w:rsidRPr="001C4F59">
        <w:rPr>
          <w:rFonts w:eastAsiaTheme="minorEastAsia"/>
          <w:b/>
          <w:lang w:eastAsia="ja-JP"/>
        </w:rPr>
        <w:t xml:space="preserve">Spherical coverage enhancement </w:t>
      </w:r>
      <w:r w:rsidR="00BA44A4" w:rsidRPr="001C4F59">
        <w:rPr>
          <w:rFonts w:eastAsiaTheme="minorEastAsia"/>
          <w:b/>
          <w:lang w:eastAsia="ja-JP"/>
        </w:rPr>
        <w:t>for PC3</w:t>
      </w:r>
      <w:r w:rsidR="00FF0EFC" w:rsidRPr="001C4F59">
        <w:rPr>
          <w:rFonts w:eastAsiaTheme="minorEastAsia"/>
          <w:b/>
          <w:lang w:eastAsia="ja-JP"/>
        </w:rPr>
        <w:t xml:space="preserve"> </w:t>
      </w:r>
      <w:r w:rsidRPr="001C4F59">
        <w:rPr>
          <w:rFonts w:eastAsiaTheme="minorEastAsia"/>
          <w:b/>
          <w:lang w:eastAsia="ja-JP"/>
        </w:rPr>
        <w:t>should be optional feature</w:t>
      </w:r>
      <w:r w:rsidRPr="001C4F59">
        <w:rPr>
          <w:rFonts w:eastAsiaTheme="minorEastAsia"/>
          <w:b/>
          <w:lang w:eastAsia="ja-JP"/>
        </w:rPr>
        <w:t>.</w:t>
      </w:r>
    </w:p>
    <w:p w:rsidR="002D0C0A" w:rsidRPr="0040266C" w:rsidRDefault="002D0C0A" w:rsidP="0037614F">
      <w:pPr>
        <w:rPr>
          <w:rFonts w:eastAsiaTheme="minorEastAsia" w:hint="eastAsia"/>
          <w:b/>
          <w:u w:val="single"/>
          <w:lang w:eastAsia="ja-JP"/>
        </w:rPr>
      </w:pPr>
    </w:p>
    <w:p w:rsidR="007B2700" w:rsidRPr="007B2700" w:rsidRDefault="002D0C0A" w:rsidP="007B2700">
      <w:pPr>
        <w:pStyle w:val="2"/>
      </w:pPr>
      <w:r>
        <w:t>2.4</w:t>
      </w:r>
      <w:r w:rsidR="007B2700" w:rsidRPr="007B2700">
        <w:t xml:space="preserve"> Number of antenna panels</w:t>
      </w:r>
    </w:p>
    <w:p w:rsidR="007B2700" w:rsidRDefault="003C0045" w:rsidP="0037614F">
      <w:pPr>
        <w:rPr>
          <w:rFonts w:eastAsiaTheme="minorEastAsia"/>
          <w:lang w:eastAsia="ja-JP"/>
        </w:rPr>
      </w:pPr>
      <w:r>
        <w:rPr>
          <w:rFonts w:eastAsiaTheme="minorEastAsia"/>
          <w:lang w:eastAsia="ja-JP"/>
        </w:rPr>
        <w:t xml:space="preserve"> For number</w:t>
      </w:r>
      <w:r w:rsidR="00244DBB">
        <w:rPr>
          <w:rFonts w:eastAsiaTheme="minorEastAsia"/>
          <w:lang w:eastAsia="ja-JP"/>
        </w:rPr>
        <w:t xml:space="preserve"> of antenna panels, there seems to be</w:t>
      </w:r>
      <w:r>
        <w:rPr>
          <w:rFonts w:eastAsiaTheme="minorEastAsia"/>
          <w:lang w:eastAsia="ja-JP"/>
        </w:rPr>
        <w:t xml:space="preserve"> different understanding between companies during discussion in the previous meeting. Therefore, firstly we would like to check the facts to make common understanding.</w:t>
      </w:r>
    </w:p>
    <w:p w:rsidR="009E7AA1" w:rsidRDefault="00D17271" w:rsidP="00D17271">
      <w:pPr>
        <w:rPr>
          <w:rFonts w:eastAsiaTheme="minorEastAsia"/>
          <w:lang w:eastAsia="ja-JP"/>
        </w:rPr>
      </w:pPr>
      <w:r>
        <w:rPr>
          <w:rFonts w:eastAsiaTheme="minorEastAsia"/>
          <w:lang w:eastAsia="ja-JP"/>
        </w:rPr>
        <w:t xml:space="preserve"> In our understanding, there are two difference understanding about number of antenna panels. First, assumption of number of antenna panels used to conclude Rel-15 PC3 spherical requirement</w:t>
      </w:r>
      <w:r w:rsidR="00F751B4">
        <w:rPr>
          <w:rFonts w:eastAsiaTheme="minorEastAsia"/>
          <w:lang w:eastAsia="ja-JP"/>
        </w:rPr>
        <w:t xml:space="preserve"> seems to be different</w:t>
      </w:r>
      <w:r>
        <w:rPr>
          <w:rFonts w:eastAsiaTheme="minorEastAsia"/>
          <w:lang w:eastAsia="ja-JP"/>
        </w:rPr>
        <w:t>.</w:t>
      </w:r>
      <w:r w:rsidR="009E7AA1">
        <w:rPr>
          <w:rFonts w:eastAsiaTheme="minorEastAsia"/>
          <w:lang w:eastAsia="ja-JP"/>
        </w:rPr>
        <w:t xml:space="preserve"> </w:t>
      </w:r>
      <w:r w:rsidR="00472DF7">
        <w:rPr>
          <w:rFonts w:eastAsiaTheme="minorEastAsia"/>
          <w:lang w:eastAsia="ja-JP"/>
        </w:rPr>
        <w:t>As described in TR 38.81</w:t>
      </w:r>
      <w:r w:rsidR="000355B9">
        <w:rPr>
          <w:rFonts w:eastAsiaTheme="minorEastAsia"/>
          <w:lang w:eastAsia="ja-JP"/>
        </w:rPr>
        <w:t>7-01[5</w:t>
      </w:r>
      <w:r w:rsidR="00472DF7">
        <w:rPr>
          <w:rFonts w:eastAsiaTheme="minorEastAsia"/>
          <w:lang w:eastAsia="ja-JP"/>
        </w:rPr>
        <w:t>], there are two table for one panel assumption and two panels assumption, and as a result, the value of Rel-15 spherical coverage requirement was</w:t>
      </w:r>
      <w:r w:rsidR="00F96857">
        <w:rPr>
          <w:rFonts w:eastAsiaTheme="minorEastAsia"/>
          <w:lang w:eastAsia="ja-JP"/>
        </w:rPr>
        <w:t xml:space="preserve"> between the averaged value</w:t>
      </w:r>
      <w:r w:rsidR="00472DF7">
        <w:rPr>
          <w:rFonts w:eastAsiaTheme="minorEastAsia"/>
          <w:lang w:eastAsia="ja-JP"/>
        </w:rPr>
        <w:t xml:space="preserve"> </w:t>
      </w:r>
      <w:r w:rsidR="002B5219">
        <w:rPr>
          <w:rFonts w:eastAsiaTheme="minorEastAsia"/>
          <w:lang w:eastAsia="ja-JP"/>
        </w:rPr>
        <w:t>of</w:t>
      </w:r>
      <w:r w:rsidR="00472DF7">
        <w:rPr>
          <w:rFonts w:eastAsiaTheme="minorEastAsia"/>
          <w:lang w:eastAsia="ja-JP"/>
        </w:rPr>
        <w:t xml:space="preserve"> the one panel assumption and the averaged </w:t>
      </w:r>
      <w:r w:rsidR="00F96857">
        <w:rPr>
          <w:rFonts w:eastAsiaTheme="minorEastAsia"/>
          <w:lang w:eastAsia="ja-JP"/>
        </w:rPr>
        <w:t xml:space="preserve">value </w:t>
      </w:r>
      <w:r w:rsidR="00472DF7">
        <w:rPr>
          <w:rFonts w:eastAsiaTheme="minorEastAsia"/>
          <w:lang w:eastAsia="ja-JP"/>
        </w:rPr>
        <w:t>of the two panels assumption.</w:t>
      </w:r>
      <w:r w:rsidR="00BE175E">
        <w:rPr>
          <w:rFonts w:eastAsiaTheme="minorEastAsia"/>
          <w:lang w:eastAsia="ja-JP"/>
        </w:rPr>
        <w:t xml:space="preserve"> </w:t>
      </w:r>
      <w:r>
        <w:rPr>
          <w:rFonts w:eastAsiaTheme="minorEastAsia"/>
          <w:lang w:eastAsia="ja-JP"/>
        </w:rPr>
        <w:t xml:space="preserve">(Note we don’t say PC3 spherical coverage requirement is averaged value of companies’ input). </w:t>
      </w:r>
      <w:r w:rsidR="00BE175E">
        <w:rPr>
          <w:rFonts w:eastAsiaTheme="minorEastAsia"/>
          <w:lang w:eastAsia="ja-JP"/>
        </w:rPr>
        <w:t xml:space="preserve">This fact means that UE may meet Rel-15 requirement using one or two panels. </w:t>
      </w:r>
      <w:r w:rsidR="000251B8">
        <w:rPr>
          <w:rFonts w:eastAsiaTheme="minorEastAsia"/>
          <w:lang w:eastAsia="ja-JP"/>
        </w:rPr>
        <w:t>However, different view is that there is more than two panels was also assumed in dis</w:t>
      </w:r>
      <w:r w:rsidR="004A42C0">
        <w:rPr>
          <w:rFonts w:eastAsiaTheme="minorEastAsia"/>
          <w:lang w:eastAsia="ja-JP"/>
        </w:rPr>
        <w:t>cussion in Rel-15. According to [6], there seems to be assumption of 3 a</w:t>
      </w:r>
      <w:r w:rsidR="00244DBB">
        <w:rPr>
          <w:rFonts w:eastAsiaTheme="minorEastAsia"/>
          <w:lang w:eastAsia="ja-JP"/>
        </w:rPr>
        <w:t>ntenna panels, and one company in [6]</w:t>
      </w:r>
      <w:r w:rsidR="004A42C0">
        <w:rPr>
          <w:rFonts w:eastAsiaTheme="minorEastAsia"/>
          <w:lang w:eastAsia="ja-JP"/>
        </w:rPr>
        <w:t xml:space="preserve"> provide</w:t>
      </w:r>
      <w:r w:rsidR="00244DBB">
        <w:rPr>
          <w:rFonts w:eastAsiaTheme="minorEastAsia"/>
          <w:lang w:eastAsia="ja-JP"/>
        </w:rPr>
        <w:t>d</w:t>
      </w:r>
      <w:r w:rsidR="004A42C0">
        <w:rPr>
          <w:rFonts w:eastAsiaTheme="minorEastAsia"/>
          <w:lang w:eastAsia="ja-JP"/>
        </w:rPr>
        <w:t xml:space="preserve"> the date based on 3 antenna panels [7].</w:t>
      </w:r>
      <w:r w:rsidR="00B56B66">
        <w:rPr>
          <w:rFonts w:eastAsiaTheme="minorEastAsia"/>
          <w:lang w:eastAsia="ja-JP"/>
        </w:rPr>
        <w:t xml:space="preserve"> So we agree that there was 3 </w:t>
      </w:r>
      <w:r w:rsidR="00BA745F">
        <w:rPr>
          <w:rFonts w:eastAsiaTheme="minorEastAsia"/>
          <w:lang w:eastAsia="ja-JP"/>
        </w:rPr>
        <w:t xml:space="preserve">antenna </w:t>
      </w:r>
      <w:r w:rsidR="00B56B66">
        <w:rPr>
          <w:rFonts w:eastAsiaTheme="minorEastAsia"/>
          <w:lang w:eastAsia="ja-JP"/>
        </w:rPr>
        <w:t>panel assumption in Rel-15, but we think the observation above mentioned still seems to be c</w:t>
      </w:r>
      <w:r w:rsidR="00BA745F">
        <w:rPr>
          <w:rFonts w:eastAsiaTheme="minorEastAsia"/>
          <w:lang w:eastAsia="ja-JP"/>
        </w:rPr>
        <w:t>orrect. Second, the possibility of spherical coverage enhancement by increasing number of panels.</w:t>
      </w:r>
      <w:r w:rsidR="000236CE">
        <w:rPr>
          <w:rFonts w:eastAsiaTheme="minorEastAsia"/>
          <w:lang w:eastAsia="ja-JP"/>
        </w:rPr>
        <w:t xml:space="preserve"> There seems to be view mentioning that increasing number of antenna panels does not improve spherical coverage performance. However, according to [4]</w:t>
      </w:r>
      <w:r w:rsidR="00327967">
        <w:rPr>
          <w:rFonts w:eastAsiaTheme="minorEastAsia"/>
          <w:lang w:eastAsia="ja-JP"/>
        </w:rPr>
        <w:t xml:space="preserve"> </w:t>
      </w:r>
      <w:r w:rsidR="000236CE">
        <w:rPr>
          <w:rFonts w:eastAsiaTheme="minorEastAsia"/>
          <w:lang w:eastAsia="ja-JP"/>
        </w:rPr>
        <w:t>[7], there seems to be possibility of enhancement.</w:t>
      </w:r>
      <w:r w:rsidR="00327967">
        <w:rPr>
          <w:rFonts w:eastAsiaTheme="minorEastAsia"/>
          <w:lang w:eastAsia="ja-JP"/>
        </w:rPr>
        <w:t xml:space="preserve"> Considering the fact that the increasing number of panels can cover more number of direction of UE sides, it </w:t>
      </w:r>
      <w:r w:rsidR="00244DBB">
        <w:rPr>
          <w:rFonts w:eastAsiaTheme="minorEastAsia"/>
          <w:lang w:eastAsia="ja-JP"/>
        </w:rPr>
        <w:t xml:space="preserve">should </w:t>
      </w:r>
      <w:r w:rsidR="00327967">
        <w:rPr>
          <w:rFonts w:eastAsiaTheme="minorEastAsia"/>
          <w:lang w:eastAsia="ja-JP"/>
        </w:rPr>
        <w:t>directly impacts on spherical coverage performance.</w:t>
      </w:r>
    </w:p>
    <w:p w:rsidR="00FC3211" w:rsidRDefault="00244DBB" w:rsidP="00244DBB">
      <w:pPr>
        <w:rPr>
          <w:rFonts w:eastAsiaTheme="minorEastAsia"/>
          <w:lang w:eastAsia="ja-JP"/>
        </w:rPr>
      </w:pPr>
      <w:r>
        <w:rPr>
          <w:rFonts w:eastAsiaTheme="minorEastAsia"/>
          <w:lang w:eastAsia="ja-JP"/>
        </w:rPr>
        <w:t xml:space="preserve"> Since there are different understanding about Rel-15 discussion and performance enhancement possibility, we would like to </w:t>
      </w:r>
      <w:r w:rsidR="00FB1D99">
        <w:rPr>
          <w:rFonts w:eastAsiaTheme="minorEastAsia"/>
          <w:lang w:eastAsia="ja-JP"/>
        </w:rPr>
        <w:t>conduct</w:t>
      </w:r>
      <w:r>
        <w:rPr>
          <w:rFonts w:eastAsiaTheme="minorEastAsia"/>
          <w:lang w:eastAsia="ja-JP"/>
        </w:rPr>
        <w:t xml:space="preserve"> analysis based</w:t>
      </w:r>
      <w:r w:rsidR="00FB1D99">
        <w:rPr>
          <w:rFonts w:eastAsiaTheme="minorEastAsia"/>
          <w:lang w:eastAsia="ja-JP"/>
        </w:rPr>
        <w:t xml:space="preserve"> discussion.</w:t>
      </w:r>
    </w:p>
    <w:p w:rsidR="00266CBB" w:rsidRPr="0006741A" w:rsidRDefault="00C84678" w:rsidP="0006741A">
      <w:pPr>
        <w:ind w:firstLineChars="50" w:firstLine="98"/>
        <w:rPr>
          <w:rFonts w:eastAsiaTheme="minorEastAsia"/>
          <w:b/>
          <w:u w:val="single"/>
          <w:lang w:eastAsia="ja-JP"/>
        </w:rPr>
      </w:pPr>
      <w:r w:rsidRPr="001C4F59">
        <w:rPr>
          <w:rFonts w:eastAsiaTheme="minorEastAsia"/>
          <w:b/>
          <w:u w:val="single"/>
          <w:lang w:eastAsia="ja-JP"/>
        </w:rPr>
        <w:t>Proposal 3:</w:t>
      </w:r>
      <w:r w:rsidR="0006741A">
        <w:rPr>
          <w:rFonts w:eastAsiaTheme="minorEastAsia" w:hint="eastAsia"/>
          <w:b/>
          <w:u w:val="single"/>
          <w:lang w:eastAsia="ja-JP"/>
        </w:rPr>
        <w:t xml:space="preserve"> </w:t>
      </w:r>
      <w:r w:rsidRPr="001C4F59">
        <w:rPr>
          <w:rFonts w:eastAsiaTheme="minorEastAsia"/>
          <w:b/>
          <w:lang w:eastAsia="ja-JP"/>
        </w:rPr>
        <w:t>Companies are encouraged to provide</w:t>
      </w:r>
      <w:r w:rsidR="00266CBB" w:rsidRPr="001C4F59">
        <w:rPr>
          <w:rFonts w:eastAsiaTheme="minorEastAsia"/>
          <w:b/>
          <w:lang w:eastAsia="ja-JP"/>
        </w:rPr>
        <w:t xml:space="preserve"> the following information:</w:t>
      </w:r>
    </w:p>
    <w:p w:rsidR="00236B96" w:rsidRPr="001C4F59" w:rsidRDefault="00266CBB" w:rsidP="00B73793">
      <w:pPr>
        <w:pStyle w:val="a7"/>
        <w:numPr>
          <w:ilvl w:val="0"/>
          <w:numId w:val="27"/>
        </w:numPr>
        <w:ind w:leftChars="0"/>
        <w:rPr>
          <w:rFonts w:eastAsiaTheme="minorEastAsia"/>
          <w:b/>
          <w:lang w:eastAsia="ja-JP"/>
        </w:rPr>
      </w:pPr>
      <w:r w:rsidRPr="001C4F59">
        <w:rPr>
          <w:rFonts w:eastAsiaTheme="minorEastAsia" w:hint="eastAsia"/>
          <w:b/>
          <w:lang w:eastAsia="ja-JP"/>
        </w:rPr>
        <w:t>I</w:t>
      </w:r>
      <w:r w:rsidRPr="001C4F59">
        <w:rPr>
          <w:rFonts w:eastAsiaTheme="minorEastAsia"/>
          <w:b/>
          <w:lang w:eastAsia="ja-JP"/>
        </w:rPr>
        <w:t>nformation about the number of panels that actual product are</w:t>
      </w:r>
      <w:r w:rsidR="00236B96" w:rsidRPr="001C4F59">
        <w:rPr>
          <w:rFonts w:eastAsiaTheme="minorEastAsia"/>
          <w:b/>
          <w:lang w:eastAsia="ja-JP"/>
        </w:rPr>
        <w:t>/will</w:t>
      </w:r>
      <w:r w:rsidRPr="001C4F59">
        <w:rPr>
          <w:rFonts w:eastAsiaTheme="minorEastAsia"/>
          <w:b/>
          <w:lang w:eastAsia="ja-JP"/>
        </w:rPr>
        <w:t xml:space="preserve"> </w:t>
      </w:r>
      <w:r w:rsidR="00236B96" w:rsidRPr="001C4F59">
        <w:rPr>
          <w:rFonts w:eastAsiaTheme="minorEastAsia"/>
          <w:b/>
          <w:lang w:eastAsia="ja-JP"/>
        </w:rPr>
        <w:t>be implementing</w:t>
      </w:r>
    </w:p>
    <w:p w:rsidR="00C84678" w:rsidRPr="001C4F59" w:rsidRDefault="00266CBB" w:rsidP="00B73793">
      <w:pPr>
        <w:pStyle w:val="a7"/>
        <w:numPr>
          <w:ilvl w:val="0"/>
          <w:numId w:val="27"/>
        </w:numPr>
        <w:ind w:leftChars="0"/>
        <w:rPr>
          <w:rFonts w:eastAsiaTheme="minorEastAsia"/>
          <w:b/>
          <w:lang w:eastAsia="ja-JP"/>
        </w:rPr>
      </w:pPr>
      <w:r w:rsidRPr="001C4F59">
        <w:rPr>
          <w:rFonts w:eastAsiaTheme="minorEastAsia"/>
          <w:b/>
          <w:lang w:eastAsia="ja-JP"/>
        </w:rPr>
        <w:t>Data of spherical coverage performance difference based on increasing number of antenna panels.</w:t>
      </w:r>
    </w:p>
    <w:p w:rsidR="00236B96" w:rsidRPr="001C4F59" w:rsidRDefault="00236B96" w:rsidP="00236B96">
      <w:pPr>
        <w:pStyle w:val="a7"/>
        <w:numPr>
          <w:ilvl w:val="1"/>
          <w:numId w:val="27"/>
        </w:numPr>
        <w:ind w:leftChars="0"/>
        <w:rPr>
          <w:rFonts w:eastAsiaTheme="minorEastAsia"/>
          <w:b/>
          <w:lang w:eastAsia="ja-JP"/>
        </w:rPr>
      </w:pPr>
      <w:r w:rsidRPr="001C4F59">
        <w:rPr>
          <w:rFonts w:eastAsiaTheme="minorEastAsia"/>
          <w:b/>
          <w:lang w:eastAsia="ja-JP"/>
        </w:rPr>
        <w:t>The purpose is to see the performance difference, and thus it is even helpful that provided data is relative values (i.e., not absolute values) of different number of panel assumption.</w:t>
      </w:r>
    </w:p>
    <w:p w:rsidR="00462FFE" w:rsidRPr="001C4F59" w:rsidRDefault="00462FFE" w:rsidP="00236B96">
      <w:pPr>
        <w:pStyle w:val="a7"/>
        <w:numPr>
          <w:ilvl w:val="1"/>
          <w:numId w:val="27"/>
        </w:numPr>
        <w:ind w:leftChars="0"/>
        <w:rPr>
          <w:rFonts w:eastAsiaTheme="minorEastAsia"/>
          <w:b/>
          <w:lang w:eastAsia="ja-JP"/>
        </w:rPr>
      </w:pPr>
      <w:r w:rsidRPr="001C4F59">
        <w:rPr>
          <w:rFonts w:eastAsiaTheme="minorEastAsia"/>
          <w:b/>
          <w:lang w:eastAsia="ja-JP"/>
        </w:rPr>
        <w:t>Resubmission of Rel-15 analysis is also helpful if there is no updated and the number of panels that actual product are implementing is covered by Rel-15 ana</w:t>
      </w:r>
      <w:r w:rsidR="006C1A6C">
        <w:rPr>
          <w:rFonts w:eastAsiaTheme="minorEastAsia"/>
          <w:b/>
          <w:lang w:eastAsia="ja-JP"/>
        </w:rPr>
        <w:t>l</w:t>
      </w:r>
      <w:r w:rsidRPr="001C4F59">
        <w:rPr>
          <w:rFonts w:eastAsiaTheme="minorEastAsia"/>
          <w:b/>
          <w:lang w:eastAsia="ja-JP"/>
        </w:rPr>
        <w:t>ysis.</w:t>
      </w:r>
    </w:p>
    <w:p w:rsidR="00020779" w:rsidRPr="00266CBB" w:rsidRDefault="00020779" w:rsidP="000355B9">
      <w:pPr>
        <w:rPr>
          <w:rFonts w:eastAsiaTheme="minorEastAsia"/>
          <w:b/>
          <w:lang w:eastAsia="ja-JP"/>
        </w:rPr>
      </w:pPr>
    </w:p>
    <w:p w:rsidR="0049413F" w:rsidRPr="009A6613" w:rsidRDefault="00654891" w:rsidP="009A6613">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6C1A6C" w:rsidRDefault="00654891" w:rsidP="006C1A6C">
      <w:pPr>
        <w:rPr>
          <w:rFonts w:eastAsiaTheme="minorEastAsia"/>
          <w:lang w:eastAsia="ja-JP"/>
        </w:rPr>
      </w:pPr>
      <w:r>
        <w:rPr>
          <w:rFonts w:eastAsiaTheme="minorEastAsia" w:hint="eastAsia"/>
          <w:lang w:eastAsia="ja-JP"/>
        </w:rPr>
        <w:t xml:space="preserve">In this </w:t>
      </w:r>
      <w:r>
        <w:rPr>
          <w:rFonts w:eastAsiaTheme="minorEastAsia"/>
          <w:lang w:eastAsia="ja-JP"/>
        </w:rPr>
        <w:t>contribution, we provided our view on</w:t>
      </w:r>
      <w:r w:rsidR="00020779">
        <w:rPr>
          <w:rFonts w:eastAsiaTheme="minorEastAsia"/>
          <w:lang w:eastAsia="ja-JP"/>
        </w:rPr>
        <w:t xml:space="preserve"> spherical coverage</w:t>
      </w:r>
      <w:r w:rsidR="006C6145">
        <w:rPr>
          <w:rFonts w:eastAsiaTheme="minorEastAsia" w:hint="eastAsia"/>
          <w:lang w:eastAsia="ja-JP"/>
        </w:rPr>
        <w:t xml:space="preserve"> enhancement</w:t>
      </w:r>
      <w:r w:rsidR="006C6145">
        <w:rPr>
          <w:rFonts w:eastAsiaTheme="minorEastAsia"/>
          <w:lang w:eastAsia="ja-JP"/>
        </w:rPr>
        <w:t>.</w:t>
      </w:r>
      <w:r w:rsidR="00B362A4">
        <w:rPr>
          <w:rFonts w:eastAsiaTheme="minorEastAsia"/>
          <w:lang w:eastAsia="ja-JP"/>
        </w:rPr>
        <w:t xml:space="preserve"> Our</w:t>
      </w:r>
      <w:r>
        <w:rPr>
          <w:rFonts w:eastAsiaTheme="minorEastAsia"/>
          <w:lang w:eastAsia="ja-JP"/>
        </w:rPr>
        <w:t xml:space="preserve"> </w:t>
      </w:r>
      <w:r w:rsidR="00833A28">
        <w:rPr>
          <w:rFonts w:eastAsiaTheme="minorEastAsia"/>
          <w:lang w:eastAsia="ja-JP"/>
        </w:rPr>
        <w:t xml:space="preserve">observations and </w:t>
      </w:r>
      <w:r>
        <w:rPr>
          <w:rFonts w:eastAsiaTheme="minorEastAsia"/>
          <w:lang w:eastAsia="ja-JP"/>
        </w:rPr>
        <w:t>proposals are as follows:</w:t>
      </w:r>
    </w:p>
    <w:p w:rsidR="006C1A6C" w:rsidRPr="00416CE3" w:rsidRDefault="006C1A6C" w:rsidP="006C1A6C">
      <w:pPr>
        <w:ind w:firstLineChars="50" w:firstLine="98"/>
        <w:rPr>
          <w:rFonts w:eastAsiaTheme="minorEastAsia"/>
          <w:b/>
          <w:u w:val="single"/>
          <w:lang w:eastAsia="ja-JP"/>
        </w:rPr>
      </w:pPr>
      <w:r w:rsidRPr="00416CE3">
        <w:rPr>
          <w:rFonts w:eastAsiaTheme="minorEastAsia"/>
          <w:b/>
          <w:u w:val="single"/>
          <w:lang w:eastAsia="ja-JP"/>
        </w:rPr>
        <w:t xml:space="preserve">Observation 1: </w:t>
      </w:r>
      <w:r w:rsidRPr="001C4F59">
        <w:rPr>
          <w:rFonts w:eastAsiaTheme="minorEastAsia"/>
          <w:b/>
          <w:lang w:eastAsia="ja-JP"/>
        </w:rPr>
        <w:t>One possible approach is to enhance spherical coverage performance when some of bottlenecks can be eliminated.</w:t>
      </w:r>
    </w:p>
    <w:p w:rsidR="006C1A6C" w:rsidRDefault="006C1A6C" w:rsidP="006C1A6C">
      <w:pPr>
        <w:ind w:firstLineChars="50" w:firstLine="100"/>
        <w:rPr>
          <w:rFonts w:eastAsiaTheme="minorEastAsia"/>
          <w:lang w:eastAsia="ja-JP"/>
        </w:rPr>
      </w:pPr>
      <w:r>
        <w:rPr>
          <w:rFonts w:eastAsiaTheme="minorEastAsia"/>
          <w:lang w:eastAsia="ja-JP"/>
        </w:rPr>
        <w:t xml:space="preserve"> </w:t>
      </w:r>
    </w:p>
    <w:p w:rsidR="006C1A6C" w:rsidRDefault="006C1A6C" w:rsidP="006C1A6C">
      <w:pPr>
        <w:ind w:firstLineChars="50" w:firstLine="98"/>
        <w:rPr>
          <w:rFonts w:eastAsiaTheme="minorEastAsia"/>
          <w:b/>
          <w:u w:val="single"/>
          <w:lang w:eastAsia="ja-JP"/>
        </w:rPr>
      </w:pPr>
      <w:r>
        <w:rPr>
          <w:rFonts w:eastAsiaTheme="minorEastAsia"/>
          <w:b/>
          <w:u w:val="single"/>
          <w:lang w:eastAsia="ja-JP"/>
        </w:rPr>
        <w:t xml:space="preserve">Proposal 1: </w:t>
      </w:r>
      <w:r w:rsidRPr="001C4F59">
        <w:rPr>
          <w:rFonts w:eastAsiaTheme="minorEastAsia"/>
          <w:b/>
          <w:lang w:eastAsia="ja-JP"/>
        </w:rPr>
        <w:t>RAN4 should clarify the bottlenecks of spherical coverage enhancement for handheld UE, where the analysis of bottlenecks for spherical coverage EIRP and EIS should be conducted separately if needed.</w:t>
      </w:r>
    </w:p>
    <w:p w:rsidR="006C1A6C" w:rsidRDefault="006C1A6C" w:rsidP="006C1A6C">
      <w:pPr>
        <w:ind w:firstLineChars="50" w:firstLine="98"/>
        <w:rPr>
          <w:rFonts w:eastAsiaTheme="minorEastAsia"/>
          <w:b/>
          <w:u w:val="single"/>
          <w:lang w:eastAsia="ja-JP"/>
        </w:rPr>
      </w:pPr>
    </w:p>
    <w:p w:rsidR="006C1A6C" w:rsidRDefault="006C1A6C" w:rsidP="006C1A6C">
      <w:pPr>
        <w:ind w:firstLineChars="50" w:firstLine="98"/>
        <w:rPr>
          <w:rFonts w:eastAsiaTheme="minorEastAsia"/>
          <w:b/>
          <w:lang w:eastAsia="ja-JP"/>
        </w:rPr>
      </w:pPr>
      <w:r>
        <w:rPr>
          <w:rFonts w:eastAsiaTheme="minorEastAsia"/>
          <w:b/>
          <w:u w:val="single"/>
          <w:lang w:eastAsia="ja-JP"/>
        </w:rPr>
        <w:t xml:space="preserve">Proposal 2: </w:t>
      </w:r>
      <w:r w:rsidRPr="001C4F59">
        <w:rPr>
          <w:rFonts w:eastAsiaTheme="minorEastAsia"/>
          <w:b/>
          <w:lang w:eastAsia="ja-JP"/>
        </w:rPr>
        <w:t>Spherical coverage enhancement for PC3 should be optional feature.</w:t>
      </w:r>
    </w:p>
    <w:p w:rsidR="006C1A6C" w:rsidRDefault="006C1A6C" w:rsidP="006C1A6C">
      <w:pPr>
        <w:ind w:firstLineChars="50" w:firstLine="98"/>
        <w:rPr>
          <w:rFonts w:eastAsiaTheme="minorEastAsia"/>
          <w:b/>
          <w:u w:val="single"/>
          <w:lang w:eastAsia="ja-JP"/>
        </w:rPr>
      </w:pPr>
    </w:p>
    <w:p w:rsidR="006C1A6C" w:rsidRPr="00C45FD7" w:rsidRDefault="006C1A6C" w:rsidP="00C45FD7">
      <w:pPr>
        <w:ind w:firstLineChars="50" w:firstLine="98"/>
        <w:rPr>
          <w:rFonts w:eastAsiaTheme="minorEastAsia"/>
          <w:b/>
          <w:u w:val="single"/>
          <w:lang w:eastAsia="ja-JP"/>
        </w:rPr>
      </w:pPr>
      <w:r w:rsidRPr="001C4F59">
        <w:rPr>
          <w:rFonts w:eastAsiaTheme="minorEastAsia"/>
          <w:b/>
          <w:u w:val="single"/>
          <w:lang w:eastAsia="ja-JP"/>
        </w:rPr>
        <w:t>Proposal 3:</w:t>
      </w:r>
      <w:r w:rsidR="003E390E">
        <w:rPr>
          <w:rFonts w:eastAsiaTheme="minorEastAsia"/>
          <w:b/>
          <w:u w:val="single"/>
          <w:lang w:eastAsia="ja-JP"/>
        </w:rPr>
        <w:t xml:space="preserve"> </w:t>
      </w:r>
      <w:r w:rsidRPr="001C4F59">
        <w:rPr>
          <w:rFonts w:eastAsiaTheme="minorEastAsia"/>
          <w:b/>
          <w:lang w:eastAsia="ja-JP"/>
        </w:rPr>
        <w:t>Companies are encouraged to provide the following information:</w:t>
      </w:r>
    </w:p>
    <w:p w:rsidR="006C1A6C" w:rsidRPr="001C4F59" w:rsidRDefault="006C1A6C" w:rsidP="006C1A6C">
      <w:pPr>
        <w:pStyle w:val="a7"/>
        <w:numPr>
          <w:ilvl w:val="0"/>
          <w:numId w:val="27"/>
        </w:numPr>
        <w:ind w:leftChars="0"/>
        <w:rPr>
          <w:rFonts w:eastAsiaTheme="minorEastAsia"/>
          <w:b/>
          <w:lang w:eastAsia="ja-JP"/>
        </w:rPr>
      </w:pPr>
      <w:r w:rsidRPr="001C4F59">
        <w:rPr>
          <w:rFonts w:eastAsiaTheme="minorEastAsia" w:hint="eastAsia"/>
          <w:b/>
          <w:lang w:eastAsia="ja-JP"/>
        </w:rPr>
        <w:t>I</w:t>
      </w:r>
      <w:r w:rsidRPr="001C4F59">
        <w:rPr>
          <w:rFonts w:eastAsiaTheme="minorEastAsia"/>
          <w:b/>
          <w:lang w:eastAsia="ja-JP"/>
        </w:rPr>
        <w:t>nformation about the number of panels that actual product are/will be implementing</w:t>
      </w:r>
    </w:p>
    <w:p w:rsidR="006C1A6C" w:rsidRPr="001C4F59" w:rsidRDefault="006C1A6C" w:rsidP="006C1A6C">
      <w:pPr>
        <w:pStyle w:val="a7"/>
        <w:numPr>
          <w:ilvl w:val="0"/>
          <w:numId w:val="27"/>
        </w:numPr>
        <w:ind w:leftChars="0"/>
        <w:rPr>
          <w:rFonts w:eastAsiaTheme="minorEastAsia"/>
          <w:b/>
          <w:lang w:eastAsia="ja-JP"/>
        </w:rPr>
      </w:pPr>
      <w:r w:rsidRPr="001C4F59">
        <w:rPr>
          <w:rFonts w:eastAsiaTheme="minorEastAsia"/>
          <w:b/>
          <w:lang w:eastAsia="ja-JP"/>
        </w:rPr>
        <w:lastRenderedPageBreak/>
        <w:t>Data of spherical coverage performance difference based on increasing number of antenna panels.</w:t>
      </w:r>
    </w:p>
    <w:p w:rsidR="006C1A6C" w:rsidRPr="001C4F59" w:rsidRDefault="006C1A6C" w:rsidP="006C1A6C">
      <w:pPr>
        <w:pStyle w:val="a7"/>
        <w:numPr>
          <w:ilvl w:val="1"/>
          <w:numId w:val="27"/>
        </w:numPr>
        <w:ind w:leftChars="0"/>
        <w:rPr>
          <w:rFonts w:eastAsiaTheme="minorEastAsia"/>
          <w:b/>
          <w:lang w:eastAsia="ja-JP"/>
        </w:rPr>
      </w:pPr>
      <w:r w:rsidRPr="001C4F59">
        <w:rPr>
          <w:rFonts w:eastAsiaTheme="minorEastAsia"/>
          <w:b/>
          <w:lang w:eastAsia="ja-JP"/>
        </w:rPr>
        <w:t>The purpose is to see the performance difference, and thus it is even helpful that provided data is relative values (i.e., not absolute values) of different number of panel assumption.</w:t>
      </w:r>
    </w:p>
    <w:p w:rsidR="006C1A6C" w:rsidRPr="001C4F59" w:rsidRDefault="006C1A6C" w:rsidP="006C1A6C">
      <w:pPr>
        <w:pStyle w:val="a7"/>
        <w:numPr>
          <w:ilvl w:val="1"/>
          <w:numId w:val="27"/>
        </w:numPr>
        <w:ind w:leftChars="0"/>
        <w:rPr>
          <w:rFonts w:eastAsiaTheme="minorEastAsia"/>
          <w:b/>
          <w:lang w:eastAsia="ja-JP"/>
        </w:rPr>
      </w:pPr>
      <w:r w:rsidRPr="001C4F59">
        <w:rPr>
          <w:rFonts w:eastAsiaTheme="minorEastAsia"/>
          <w:b/>
          <w:lang w:eastAsia="ja-JP"/>
        </w:rPr>
        <w:t>Resubmission of Rel-15 analysis is also helpful if there is no updated and the number of panels that actual product are implementing is covered by Rel-15 ana</w:t>
      </w:r>
      <w:r>
        <w:rPr>
          <w:rFonts w:eastAsiaTheme="minorEastAsia"/>
          <w:b/>
          <w:lang w:eastAsia="ja-JP"/>
        </w:rPr>
        <w:t>l</w:t>
      </w:r>
      <w:r w:rsidRPr="001C4F59">
        <w:rPr>
          <w:rFonts w:eastAsiaTheme="minorEastAsia"/>
          <w:b/>
          <w:lang w:eastAsia="ja-JP"/>
        </w:rPr>
        <w:t>ysis.</w:t>
      </w:r>
    </w:p>
    <w:p w:rsidR="006C1A6C" w:rsidRPr="006C1A6C" w:rsidRDefault="006C1A6C" w:rsidP="006C1A6C">
      <w:pPr>
        <w:rPr>
          <w:rFonts w:eastAsiaTheme="minorEastAsia" w:hint="eastAsia"/>
          <w:lang w:eastAsia="ja-JP"/>
        </w:rPr>
      </w:pPr>
    </w:p>
    <w:p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D558A0" w:rsidRDefault="00D558A0" w:rsidP="008A7E75">
      <w:pPr>
        <w:rPr>
          <w:rFonts w:eastAsiaTheme="minorEastAsia"/>
          <w:lang w:val="en-US" w:eastAsia="ja-JP"/>
        </w:rPr>
      </w:pPr>
      <w:r>
        <w:rPr>
          <w:rFonts w:eastAsiaTheme="minorEastAsia" w:hint="eastAsia"/>
          <w:lang w:val="en-US" w:eastAsia="ja-JP"/>
        </w:rPr>
        <w:t>[1]</w:t>
      </w:r>
      <w:r w:rsidRPr="00D558A0">
        <w:t xml:space="preserve"> </w:t>
      </w:r>
      <w:r>
        <w:rPr>
          <w:rFonts w:eastAsiaTheme="minorEastAsia"/>
          <w:lang w:val="en-US" w:eastAsia="ja-JP"/>
        </w:rPr>
        <w:t>RP-192653, “</w:t>
      </w:r>
      <w:r w:rsidRPr="00D558A0">
        <w:rPr>
          <w:rFonts w:eastAsiaTheme="minorEastAsia"/>
          <w:lang w:val="en-US" w:eastAsia="ja-JP"/>
        </w:rPr>
        <w:t>Revised WID on NR RF R</w:t>
      </w:r>
      <w:r>
        <w:rPr>
          <w:rFonts w:eastAsiaTheme="minorEastAsia"/>
          <w:lang w:val="en-US" w:eastAsia="ja-JP"/>
        </w:rPr>
        <w:t xml:space="preserve">equirement Enhancements for FR2”, </w:t>
      </w:r>
      <w:r w:rsidRPr="00D558A0">
        <w:rPr>
          <w:rFonts w:eastAsiaTheme="minorEastAsia"/>
          <w:lang w:val="en-US" w:eastAsia="ja-JP"/>
        </w:rPr>
        <w:t>Nokia, Nokia Shanghai Bell</w:t>
      </w:r>
    </w:p>
    <w:p w:rsidR="008A7E75" w:rsidRDefault="00E96213" w:rsidP="008A7E75">
      <w:pPr>
        <w:rPr>
          <w:rFonts w:eastAsiaTheme="minorEastAsia"/>
          <w:lang w:val="sv-SE"/>
        </w:rPr>
      </w:pPr>
      <w:r w:rsidRPr="00E96213">
        <w:rPr>
          <w:rFonts w:eastAsiaTheme="minorEastAsia"/>
          <w:lang w:val="en-US" w:eastAsia="ja-JP"/>
        </w:rPr>
        <w:t>[</w:t>
      </w:r>
      <w:r w:rsidR="00D558A0">
        <w:rPr>
          <w:rFonts w:eastAsiaTheme="minorEastAsia"/>
          <w:lang w:val="en-US" w:eastAsia="ja-JP"/>
        </w:rPr>
        <w:t>2</w:t>
      </w:r>
      <w:r w:rsidR="00460217">
        <w:rPr>
          <w:rFonts w:eastAsiaTheme="minorEastAsia"/>
          <w:lang w:val="en-US" w:eastAsia="ja-JP"/>
        </w:rPr>
        <w:t xml:space="preserve">] </w:t>
      </w:r>
      <w:r w:rsidR="00AC0E6E" w:rsidRPr="00AC0E6E">
        <w:rPr>
          <w:rFonts w:eastAsiaTheme="minorEastAsia"/>
          <w:lang w:val="en-US" w:eastAsia="ja-JP"/>
        </w:rPr>
        <w:t>R4-1916184</w:t>
      </w:r>
      <w:r w:rsidR="008A7E75">
        <w:rPr>
          <w:rFonts w:eastAsiaTheme="minorEastAsia"/>
          <w:lang w:val="en-US" w:eastAsia="ja-JP"/>
        </w:rPr>
        <w:t>, “</w:t>
      </w:r>
      <w:r w:rsidR="00AC0E6E" w:rsidRPr="00AC0E6E">
        <w:rPr>
          <w:rFonts w:eastAsiaTheme="minorEastAsia"/>
          <w:lang w:eastAsia="ja-JP"/>
        </w:rPr>
        <w:t>WF for</w:t>
      </w:r>
      <w:r w:rsidR="00AC0E6E">
        <w:rPr>
          <w:rFonts w:eastAsiaTheme="minorEastAsia"/>
          <w:lang w:eastAsia="ja-JP"/>
        </w:rPr>
        <w:t xml:space="preserve"> spherical coverage enhancement </w:t>
      </w:r>
      <w:r w:rsidR="00AC0E6E" w:rsidRPr="00AC0E6E">
        <w:rPr>
          <w:rFonts w:eastAsiaTheme="minorEastAsia"/>
          <w:lang w:eastAsia="ja-JP"/>
        </w:rPr>
        <w:t>for FR2</w:t>
      </w:r>
      <w:r w:rsidR="008A7E75">
        <w:rPr>
          <w:rFonts w:eastAsiaTheme="minorEastAsia"/>
          <w:lang w:eastAsia="ja-JP"/>
        </w:rPr>
        <w:t xml:space="preserve">”, </w:t>
      </w:r>
      <w:r w:rsidR="00AC0E6E" w:rsidRPr="00AC0E6E">
        <w:rPr>
          <w:rFonts w:eastAsiaTheme="minorEastAsia"/>
          <w:lang w:val="sv-SE"/>
        </w:rPr>
        <w:t>NTT DOCOMO, Verizon, KDDI, AT&amp;T, SoftBank Corp., T-Mobile U</w:t>
      </w:r>
      <w:r w:rsidR="00AC0E6E">
        <w:rPr>
          <w:rFonts w:eastAsiaTheme="minorEastAsia"/>
          <w:lang w:val="sv-SE"/>
        </w:rPr>
        <w:t>SA Inc., CHTTL, Vodafone, Nokia.</w:t>
      </w:r>
    </w:p>
    <w:p w:rsidR="0071549C" w:rsidRDefault="0071549C" w:rsidP="008A7E75">
      <w:pPr>
        <w:rPr>
          <w:rFonts w:eastAsiaTheme="minorEastAsia"/>
          <w:lang w:val="sv-SE"/>
        </w:rPr>
      </w:pPr>
      <w:r>
        <w:rPr>
          <w:rFonts w:eastAsiaTheme="minorEastAsia"/>
          <w:lang w:val="sv-SE"/>
        </w:rPr>
        <w:t xml:space="preserve">[3] </w:t>
      </w:r>
      <w:r w:rsidRPr="0071549C">
        <w:rPr>
          <w:rFonts w:eastAsiaTheme="minorEastAsia"/>
          <w:lang w:val="sv-SE"/>
        </w:rPr>
        <w:t>R4-2002829</w:t>
      </w:r>
      <w:r>
        <w:rPr>
          <w:rFonts w:eastAsiaTheme="minorEastAsia"/>
          <w:lang w:val="sv-SE"/>
        </w:rPr>
        <w:t>, ”</w:t>
      </w:r>
      <w:r w:rsidRPr="0071549C">
        <w:t xml:space="preserve"> </w:t>
      </w:r>
      <w:r w:rsidRPr="0071549C">
        <w:rPr>
          <w:rFonts w:eastAsiaTheme="minorEastAsia"/>
          <w:lang w:val="sv-SE"/>
        </w:rPr>
        <w:t>WF on spherical coverage improvements</w:t>
      </w:r>
      <w:r>
        <w:rPr>
          <w:rFonts w:eastAsiaTheme="minorEastAsia"/>
          <w:lang w:val="sv-SE"/>
        </w:rPr>
        <w:t>”, Sumsung.</w:t>
      </w:r>
    </w:p>
    <w:p w:rsidR="000355B9" w:rsidRDefault="000355B9" w:rsidP="008A7E75">
      <w:pPr>
        <w:rPr>
          <w:rFonts w:eastAsiaTheme="minorEastAsia"/>
          <w:lang w:val="sv-SE"/>
        </w:rPr>
      </w:pPr>
      <w:r>
        <w:rPr>
          <w:rFonts w:eastAsiaTheme="minorEastAsia"/>
          <w:lang w:val="sv-SE"/>
        </w:rPr>
        <w:t>[4]</w:t>
      </w:r>
      <w:r w:rsidRPr="000355B9">
        <w:t xml:space="preserve"> </w:t>
      </w:r>
      <w:r>
        <w:rPr>
          <w:rFonts w:eastAsiaTheme="minorEastAsia"/>
          <w:lang w:val="sv-SE"/>
        </w:rPr>
        <w:t>R4-2001496, ”</w:t>
      </w:r>
      <w:r w:rsidRPr="000355B9">
        <w:rPr>
          <w:rFonts w:eastAsiaTheme="minorEastAsia"/>
          <w:lang w:val="sv-SE"/>
        </w:rPr>
        <w:t>Views on improvement to spherical coverage requirements for PC3</w:t>
      </w:r>
      <w:r>
        <w:rPr>
          <w:rFonts w:eastAsiaTheme="minorEastAsia"/>
          <w:lang w:val="sv-SE"/>
        </w:rPr>
        <w:t>”, Sony</w:t>
      </w:r>
    </w:p>
    <w:p w:rsidR="00472DF7" w:rsidRDefault="000251B8" w:rsidP="008A7E75">
      <w:r>
        <w:rPr>
          <w:rFonts w:eastAsiaTheme="minorEastAsia"/>
          <w:lang w:val="sv-SE"/>
        </w:rPr>
        <w:t>[5</w:t>
      </w:r>
      <w:r w:rsidR="00472DF7">
        <w:rPr>
          <w:rFonts w:eastAsiaTheme="minorEastAsia"/>
          <w:lang w:val="sv-SE"/>
        </w:rPr>
        <w:t>]</w:t>
      </w:r>
      <w:r w:rsidR="00472DF7" w:rsidRPr="00472DF7">
        <w:t xml:space="preserve"> </w:t>
      </w:r>
      <w:r w:rsidR="00472DF7">
        <w:t>TR 38.817-01: General aspects for User Equipment (UE) Radio Frequency (RF) for NR</w:t>
      </w:r>
    </w:p>
    <w:p w:rsidR="000251B8" w:rsidRDefault="000251B8" w:rsidP="008A7E75">
      <w:pPr>
        <w:rPr>
          <w:rFonts w:eastAsiaTheme="minorEastAsia"/>
        </w:rPr>
      </w:pPr>
      <w:r>
        <w:rPr>
          <w:rFonts w:eastAsiaTheme="minorEastAsia"/>
        </w:rPr>
        <w:t>[6]</w:t>
      </w:r>
      <w:r w:rsidRPr="000251B8">
        <w:t xml:space="preserve"> </w:t>
      </w:r>
      <w:r w:rsidRPr="000251B8">
        <w:rPr>
          <w:rFonts w:eastAsiaTheme="minorEastAsia"/>
        </w:rPr>
        <w:t>R4-1801202</w:t>
      </w:r>
      <w:r>
        <w:rPr>
          <w:rFonts w:eastAsiaTheme="minorEastAsia"/>
        </w:rPr>
        <w:t>, “</w:t>
      </w:r>
      <w:r w:rsidRPr="000251B8">
        <w:rPr>
          <w:rFonts w:eastAsiaTheme="minorEastAsia"/>
        </w:rPr>
        <w:t>WF on EIRP CDF for spherical coverage</w:t>
      </w:r>
      <w:r>
        <w:rPr>
          <w:rFonts w:eastAsiaTheme="minorEastAsia"/>
        </w:rPr>
        <w:t>”</w:t>
      </w:r>
      <w:r w:rsidR="004A42C0">
        <w:rPr>
          <w:rFonts w:eastAsiaTheme="minorEastAsia"/>
        </w:rPr>
        <w:t>, Samsung, Media Tek.</w:t>
      </w:r>
    </w:p>
    <w:p w:rsidR="004A42C0" w:rsidRPr="000251B8" w:rsidRDefault="004A42C0" w:rsidP="008A7E75">
      <w:pPr>
        <w:rPr>
          <w:rFonts w:eastAsiaTheme="minorEastAsia"/>
        </w:rPr>
      </w:pPr>
      <w:r>
        <w:rPr>
          <w:rFonts w:eastAsiaTheme="minorEastAsia"/>
        </w:rPr>
        <w:t>[7]</w:t>
      </w:r>
      <w:r w:rsidRPr="004A42C0">
        <w:t xml:space="preserve"> </w:t>
      </w:r>
      <w:r w:rsidRPr="004A42C0">
        <w:rPr>
          <w:rFonts w:eastAsiaTheme="minorEastAsia"/>
        </w:rPr>
        <w:t>R4-1800990</w:t>
      </w:r>
      <w:r>
        <w:rPr>
          <w:rFonts w:eastAsiaTheme="minorEastAsia"/>
        </w:rPr>
        <w:t>, “</w:t>
      </w:r>
      <w:r w:rsidRPr="004A42C0">
        <w:rPr>
          <w:rFonts w:eastAsiaTheme="minorEastAsia"/>
        </w:rPr>
        <w:t>Further efforts on EIRP CDF for spherical coverage</w:t>
      </w:r>
      <w:r>
        <w:rPr>
          <w:rFonts w:eastAsiaTheme="minorEastAsia"/>
        </w:rPr>
        <w:t>”, Samsung.</w:t>
      </w:r>
    </w:p>
    <w:p w:rsidR="00BB3A26" w:rsidRPr="00BB3A26" w:rsidRDefault="00BB3A26">
      <w:pPr>
        <w:rPr>
          <w:rFonts w:eastAsiaTheme="minorEastAsia"/>
          <w:lang w:val="en-US" w:eastAsia="ja-JP"/>
        </w:rPr>
      </w:pPr>
    </w:p>
    <w:sectPr w:rsidR="00BB3A26" w:rsidRPr="00BB3A26"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8CD" w:rsidRDefault="00F228CD" w:rsidP="00540D5C">
      <w:r>
        <w:separator/>
      </w:r>
    </w:p>
  </w:endnote>
  <w:endnote w:type="continuationSeparator" w:id="0">
    <w:p w:rsidR="00F228CD" w:rsidRDefault="00F228CD"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l?r ??fc"/>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8CD" w:rsidRDefault="00F228CD" w:rsidP="00540D5C">
      <w:r>
        <w:separator/>
      </w:r>
    </w:p>
  </w:footnote>
  <w:footnote w:type="continuationSeparator" w:id="0">
    <w:p w:rsidR="00F228CD" w:rsidRDefault="00F228CD"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BE8"/>
    <w:multiLevelType w:val="hybridMultilevel"/>
    <w:tmpl w:val="FD1E2EF8"/>
    <w:lvl w:ilvl="0" w:tplc="6DACDE88">
      <w:start w:val="1"/>
      <w:numFmt w:val="bullet"/>
      <w:lvlText w:val="•"/>
      <w:lvlJc w:val="left"/>
      <w:pPr>
        <w:tabs>
          <w:tab w:val="num" w:pos="720"/>
        </w:tabs>
        <w:ind w:left="720" w:hanging="360"/>
      </w:pPr>
      <w:rPr>
        <w:rFonts w:ascii="Arial" w:hAnsi="Arial" w:hint="default"/>
      </w:rPr>
    </w:lvl>
    <w:lvl w:ilvl="1" w:tplc="8A66E56A" w:tentative="1">
      <w:start w:val="1"/>
      <w:numFmt w:val="bullet"/>
      <w:lvlText w:val="•"/>
      <w:lvlJc w:val="left"/>
      <w:pPr>
        <w:tabs>
          <w:tab w:val="num" w:pos="1440"/>
        </w:tabs>
        <w:ind w:left="1440" w:hanging="360"/>
      </w:pPr>
      <w:rPr>
        <w:rFonts w:ascii="Arial" w:hAnsi="Arial" w:hint="default"/>
      </w:rPr>
    </w:lvl>
    <w:lvl w:ilvl="2" w:tplc="C2F24956">
      <w:start w:val="1"/>
      <w:numFmt w:val="bullet"/>
      <w:lvlText w:val="•"/>
      <w:lvlJc w:val="left"/>
      <w:pPr>
        <w:tabs>
          <w:tab w:val="num" w:pos="2160"/>
        </w:tabs>
        <w:ind w:left="2160" w:hanging="360"/>
      </w:pPr>
      <w:rPr>
        <w:rFonts w:ascii="Arial" w:hAnsi="Arial" w:hint="default"/>
      </w:rPr>
    </w:lvl>
    <w:lvl w:ilvl="3" w:tplc="F56E044C" w:tentative="1">
      <w:start w:val="1"/>
      <w:numFmt w:val="bullet"/>
      <w:lvlText w:val="•"/>
      <w:lvlJc w:val="left"/>
      <w:pPr>
        <w:tabs>
          <w:tab w:val="num" w:pos="2880"/>
        </w:tabs>
        <w:ind w:left="2880" w:hanging="360"/>
      </w:pPr>
      <w:rPr>
        <w:rFonts w:ascii="Arial" w:hAnsi="Arial" w:hint="default"/>
      </w:rPr>
    </w:lvl>
    <w:lvl w:ilvl="4" w:tplc="468613C0" w:tentative="1">
      <w:start w:val="1"/>
      <w:numFmt w:val="bullet"/>
      <w:lvlText w:val="•"/>
      <w:lvlJc w:val="left"/>
      <w:pPr>
        <w:tabs>
          <w:tab w:val="num" w:pos="3600"/>
        </w:tabs>
        <w:ind w:left="3600" w:hanging="360"/>
      </w:pPr>
      <w:rPr>
        <w:rFonts w:ascii="Arial" w:hAnsi="Arial" w:hint="default"/>
      </w:rPr>
    </w:lvl>
    <w:lvl w:ilvl="5" w:tplc="FFE2254C" w:tentative="1">
      <w:start w:val="1"/>
      <w:numFmt w:val="bullet"/>
      <w:lvlText w:val="•"/>
      <w:lvlJc w:val="left"/>
      <w:pPr>
        <w:tabs>
          <w:tab w:val="num" w:pos="4320"/>
        </w:tabs>
        <w:ind w:left="4320" w:hanging="360"/>
      </w:pPr>
      <w:rPr>
        <w:rFonts w:ascii="Arial" w:hAnsi="Arial" w:hint="default"/>
      </w:rPr>
    </w:lvl>
    <w:lvl w:ilvl="6" w:tplc="548E4C8E" w:tentative="1">
      <w:start w:val="1"/>
      <w:numFmt w:val="bullet"/>
      <w:lvlText w:val="•"/>
      <w:lvlJc w:val="left"/>
      <w:pPr>
        <w:tabs>
          <w:tab w:val="num" w:pos="5040"/>
        </w:tabs>
        <w:ind w:left="5040" w:hanging="360"/>
      </w:pPr>
      <w:rPr>
        <w:rFonts w:ascii="Arial" w:hAnsi="Arial" w:hint="default"/>
      </w:rPr>
    </w:lvl>
    <w:lvl w:ilvl="7" w:tplc="6BD8944A" w:tentative="1">
      <w:start w:val="1"/>
      <w:numFmt w:val="bullet"/>
      <w:lvlText w:val="•"/>
      <w:lvlJc w:val="left"/>
      <w:pPr>
        <w:tabs>
          <w:tab w:val="num" w:pos="5760"/>
        </w:tabs>
        <w:ind w:left="5760" w:hanging="360"/>
      </w:pPr>
      <w:rPr>
        <w:rFonts w:ascii="Arial" w:hAnsi="Arial" w:hint="default"/>
      </w:rPr>
    </w:lvl>
    <w:lvl w:ilvl="8" w:tplc="757C732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81E6889"/>
    <w:multiLevelType w:val="hybridMultilevel"/>
    <w:tmpl w:val="F3BAEAD4"/>
    <w:lvl w:ilvl="0" w:tplc="7C7C24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27103F"/>
    <w:multiLevelType w:val="hybridMultilevel"/>
    <w:tmpl w:val="E3B2C33C"/>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0E7E52"/>
    <w:multiLevelType w:val="hybridMultilevel"/>
    <w:tmpl w:val="DD5235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760EE5"/>
    <w:multiLevelType w:val="hybridMultilevel"/>
    <w:tmpl w:val="A282DA8A"/>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2A2D4C1B"/>
    <w:multiLevelType w:val="hybridMultilevel"/>
    <w:tmpl w:val="F43899D8"/>
    <w:lvl w:ilvl="0" w:tplc="04090001">
      <w:start w:val="1"/>
      <w:numFmt w:val="bullet"/>
      <w:lvlText w:val=""/>
      <w:lvlJc w:val="left"/>
      <w:pPr>
        <w:ind w:left="623" w:hanging="420"/>
      </w:pPr>
      <w:rPr>
        <w:rFonts w:ascii="Wingdings" w:hAnsi="Wingdings" w:hint="default"/>
      </w:rPr>
    </w:lvl>
    <w:lvl w:ilvl="1" w:tplc="0409000B" w:tentative="1">
      <w:start w:val="1"/>
      <w:numFmt w:val="bullet"/>
      <w:lvlText w:val=""/>
      <w:lvlJc w:val="left"/>
      <w:pPr>
        <w:ind w:left="1043" w:hanging="420"/>
      </w:pPr>
      <w:rPr>
        <w:rFonts w:ascii="Wingdings" w:hAnsi="Wingdings" w:hint="default"/>
      </w:rPr>
    </w:lvl>
    <w:lvl w:ilvl="2" w:tplc="0409000D"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B" w:tentative="1">
      <w:start w:val="1"/>
      <w:numFmt w:val="bullet"/>
      <w:lvlText w:val=""/>
      <w:lvlJc w:val="left"/>
      <w:pPr>
        <w:ind w:left="2303" w:hanging="420"/>
      </w:pPr>
      <w:rPr>
        <w:rFonts w:ascii="Wingdings" w:hAnsi="Wingdings" w:hint="default"/>
      </w:rPr>
    </w:lvl>
    <w:lvl w:ilvl="5" w:tplc="0409000D"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B" w:tentative="1">
      <w:start w:val="1"/>
      <w:numFmt w:val="bullet"/>
      <w:lvlText w:val=""/>
      <w:lvlJc w:val="left"/>
      <w:pPr>
        <w:ind w:left="3563" w:hanging="420"/>
      </w:pPr>
      <w:rPr>
        <w:rFonts w:ascii="Wingdings" w:hAnsi="Wingdings" w:hint="default"/>
      </w:rPr>
    </w:lvl>
    <w:lvl w:ilvl="8" w:tplc="0409000D" w:tentative="1">
      <w:start w:val="1"/>
      <w:numFmt w:val="bullet"/>
      <w:lvlText w:val=""/>
      <w:lvlJc w:val="left"/>
      <w:pPr>
        <w:ind w:left="3983" w:hanging="420"/>
      </w:pPr>
      <w:rPr>
        <w:rFonts w:ascii="Wingdings" w:hAnsi="Wingdings" w:hint="default"/>
      </w:rPr>
    </w:lvl>
  </w:abstractNum>
  <w:abstractNum w:abstractNumId="10"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B165B9"/>
    <w:multiLevelType w:val="hybridMultilevel"/>
    <w:tmpl w:val="826E5FDC"/>
    <w:lvl w:ilvl="0" w:tplc="DEFC1F92">
      <w:start w:val="3"/>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831A1D"/>
    <w:multiLevelType w:val="multilevel"/>
    <w:tmpl w:val="DE66AE5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443509"/>
    <w:multiLevelType w:val="hybridMultilevel"/>
    <w:tmpl w:val="644067DC"/>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136E4E"/>
    <w:multiLevelType w:val="hybridMultilevel"/>
    <w:tmpl w:val="F3967B8E"/>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20" w15:restartNumberingAfterBreak="0">
    <w:nsid w:val="5BDD71CA"/>
    <w:multiLevelType w:val="hybridMultilevel"/>
    <w:tmpl w:val="AD52B7E6"/>
    <w:lvl w:ilvl="0" w:tplc="04090001">
      <w:start w:val="1"/>
      <w:numFmt w:val="bullet"/>
      <w:lvlText w:val=""/>
      <w:lvlJc w:val="left"/>
      <w:pPr>
        <w:ind w:left="518" w:hanging="420"/>
      </w:pPr>
      <w:rPr>
        <w:rFonts w:ascii="Wingdings" w:hAnsi="Wingdings" w:hint="default"/>
      </w:rPr>
    </w:lvl>
    <w:lvl w:ilvl="1" w:tplc="0409000B" w:tentative="1">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21" w15:restartNumberingAfterBreak="0">
    <w:nsid w:val="60317E50"/>
    <w:multiLevelType w:val="hybridMultilevel"/>
    <w:tmpl w:val="EB8C0F1A"/>
    <w:lvl w:ilvl="0" w:tplc="A9186D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0E46269"/>
    <w:multiLevelType w:val="hybridMultilevel"/>
    <w:tmpl w:val="329863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6A17F46"/>
    <w:multiLevelType w:val="hybridMultilevel"/>
    <w:tmpl w:val="C74ADC32"/>
    <w:lvl w:ilvl="0" w:tplc="04090001">
      <w:start w:val="1"/>
      <w:numFmt w:val="bullet"/>
      <w:lvlText w:val=""/>
      <w:lvlJc w:val="left"/>
      <w:pPr>
        <w:ind w:left="515" w:hanging="420"/>
      </w:pPr>
      <w:rPr>
        <w:rFonts w:ascii="Wingdings" w:hAnsi="Wingdings" w:hint="default"/>
      </w:rPr>
    </w:lvl>
    <w:lvl w:ilvl="1" w:tplc="0409000B">
      <w:start w:val="1"/>
      <w:numFmt w:val="bullet"/>
      <w:lvlText w:val=""/>
      <w:lvlJc w:val="left"/>
      <w:pPr>
        <w:ind w:left="935" w:hanging="420"/>
      </w:pPr>
      <w:rPr>
        <w:rFonts w:ascii="Wingdings" w:hAnsi="Wingdings" w:hint="default"/>
      </w:rPr>
    </w:lvl>
    <w:lvl w:ilvl="2" w:tplc="0409000D">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B" w:tentative="1">
      <w:start w:val="1"/>
      <w:numFmt w:val="bullet"/>
      <w:lvlText w:val=""/>
      <w:lvlJc w:val="left"/>
      <w:pPr>
        <w:ind w:left="2195" w:hanging="420"/>
      </w:pPr>
      <w:rPr>
        <w:rFonts w:ascii="Wingdings" w:hAnsi="Wingdings" w:hint="default"/>
      </w:rPr>
    </w:lvl>
    <w:lvl w:ilvl="5" w:tplc="0409000D"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B" w:tentative="1">
      <w:start w:val="1"/>
      <w:numFmt w:val="bullet"/>
      <w:lvlText w:val=""/>
      <w:lvlJc w:val="left"/>
      <w:pPr>
        <w:ind w:left="3455" w:hanging="420"/>
      </w:pPr>
      <w:rPr>
        <w:rFonts w:ascii="Wingdings" w:hAnsi="Wingdings" w:hint="default"/>
      </w:rPr>
    </w:lvl>
    <w:lvl w:ilvl="8" w:tplc="0409000D" w:tentative="1">
      <w:start w:val="1"/>
      <w:numFmt w:val="bullet"/>
      <w:lvlText w:val=""/>
      <w:lvlJc w:val="left"/>
      <w:pPr>
        <w:ind w:left="3875" w:hanging="420"/>
      </w:pPr>
      <w:rPr>
        <w:rFonts w:ascii="Wingdings" w:hAnsi="Wingdings" w:hint="default"/>
      </w:rPr>
    </w:lvl>
  </w:abstractNum>
  <w:abstractNum w:abstractNumId="24"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9"/>
  </w:num>
  <w:num w:numId="4">
    <w:abstractNumId w:val="11"/>
  </w:num>
  <w:num w:numId="5">
    <w:abstractNumId w:val="5"/>
  </w:num>
  <w:num w:numId="6">
    <w:abstractNumId w:val="25"/>
  </w:num>
  <w:num w:numId="7">
    <w:abstractNumId w:val="17"/>
  </w:num>
  <w:num w:numId="8">
    <w:abstractNumId w:val="2"/>
  </w:num>
  <w:num w:numId="9">
    <w:abstractNumId w:val="8"/>
  </w:num>
  <w:num w:numId="10">
    <w:abstractNumId w:val="26"/>
  </w:num>
  <w:num w:numId="11">
    <w:abstractNumId w:val="24"/>
  </w:num>
  <w:num w:numId="12">
    <w:abstractNumId w:val="15"/>
  </w:num>
  <w:num w:numId="13">
    <w:abstractNumId w:val="12"/>
  </w:num>
  <w:num w:numId="14">
    <w:abstractNumId w:val="3"/>
  </w:num>
  <w:num w:numId="15">
    <w:abstractNumId w:val="21"/>
  </w:num>
  <w:num w:numId="16">
    <w:abstractNumId w:val="4"/>
  </w:num>
  <w:num w:numId="17">
    <w:abstractNumId w:val="16"/>
  </w:num>
  <w:num w:numId="18">
    <w:abstractNumId w:val="18"/>
  </w:num>
  <w:num w:numId="19">
    <w:abstractNumId w:val="22"/>
  </w:num>
  <w:num w:numId="20">
    <w:abstractNumId w:val="6"/>
  </w:num>
  <w:num w:numId="21">
    <w:abstractNumId w:val="13"/>
  </w:num>
  <w:num w:numId="22">
    <w:abstractNumId w:val="14"/>
  </w:num>
  <w:num w:numId="23">
    <w:abstractNumId w:val="23"/>
  </w:num>
  <w:num w:numId="24">
    <w:abstractNumId w:val="20"/>
  </w:num>
  <w:num w:numId="25">
    <w:abstractNumId w:val="9"/>
  </w:num>
  <w:num w:numId="26">
    <w:abstractNumId w:val="0"/>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047"/>
    <w:rsid w:val="00003B41"/>
    <w:rsid w:val="0000480E"/>
    <w:rsid w:val="0000535A"/>
    <w:rsid w:val="00010F9D"/>
    <w:rsid w:val="000123EB"/>
    <w:rsid w:val="00020779"/>
    <w:rsid w:val="000236CE"/>
    <w:rsid w:val="000251B8"/>
    <w:rsid w:val="000261B9"/>
    <w:rsid w:val="000355B9"/>
    <w:rsid w:val="000369F0"/>
    <w:rsid w:val="00037829"/>
    <w:rsid w:val="00040EAA"/>
    <w:rsid w:val="00041FC6"/>
    <w:rsid w:val="00042F45"/>
    <w:rsid w:val="0004466D"/>
    <w:rsid w:val="000510E7"/>
    <w:rsid w:val="00057573"/>
    <w:rsid w:val="00060062"/>
    <w:rsid w:val="00065529"/>
    <w:rsid w:val="00066C68"/>
    <w:rsid w:val="0006741A"/>
    <w:rsid w:val="000803AF"/>
    <w:rsid w:val="00093AED"/>
    <w:rsid w:val="000A04B1"/>
    <w:rsid w:val="000A51AB"/>
    <w:rsid w:val="000A6BBC"/>
    <w:rsid w:val="000A71D6"/>
    <w:rsid w:val="000A7A6D"/>
    <w:rsid w:val="000B5097"/>
    <w:rsid w:val="000B7069"/>
    <w:rsid w:val="000C1843"/>
    <w:rsid w:val="000C2BAF"/>
    <w:rsid w:val="000C4D47"/>
    <w:rsid w:val="000C78B0"/>
    <w:rsid w:val="000D0320"/>
    <w:rsid w:val="000D1661"/>
    <w:rsid w:val="000D16F1"/>
    <w:rsid w:val="000D1D6A"/>
    <w:rsid w:val="000D3470"/>
    <w:rsid w:val="000D3AC4"/>
    <w:rsid w:val="000D7476"/>
    <w:rsid w:val="000D7CA3"/>
    <w:rsid w:val="000F00E8"/>
    <w:rsid w:val="000F02C4"/>
    <w:rsid w:val="000F20BD"/>
    <w:rsid w:val="000F212E"/>
    <w:rsid w:val="00100D5A"/>
    <w:rsid w:val="00101442"/>
    <w:rsid w:val="00110FD7"/>
    <w:rsid w:val="00114639"/>
    <w:rsid w:val="00114C5F"/>
    <w:rsid w:val="001153DE"/>
    <w:rsid w:val="001205D3"/>
    <w:rsid w:val="001209B3"/>
    <w:rsid w:val="00120ABF"/>
    <w:rsid w:val="001275D2"/>
    <w:rsid w:val="001325F0"/>
    <w:rsid w:val="00133725"/>
    <w:rsid w:val="00134132"/>
    <w:rsid w:val="001353AF"/>
    <w:rsid w:val="00154649"/>
    <w:rsid w:val="00156CD3"/>
    <w:rsid w:val="001611A7"/>
    <w:rsid w:val="001663F8"/>
    <w:rsid w:val="001803FE"/>
    <w:rsid w:val="001830DB"/>
    <w:rsid w:val="0018484E"/>
    <w:rsid w:val="001959DE"/>
    <w:rsid w:val="001B3725"/>
    <w:rsid w:val="001C37C9"/>
    <w:rsid w:val="001C3CF8"/>
    <w:rsid w:val="001C4CBC"/>
    <w:rsid w:val="001C4F59"/>
    <w:rsid w:val="001C5D40"/>
    <w:rsid w:val="001C669D"/>
    <w:rsid w:val="001C6EB5"/>
    <w:rsid w:val="001C75B2"/>
    <w:rsid w:val="001D03CA"/>
    <w:rsid w:val="001E10E3"/>
    <w:rsid w:val="001E35A7"/>
    <w:rsid w:val="001F424B"/>
    <w:rsid w:val="001F534C"/>
    <w:rsid w:val="002018FC"/>
    <w:rsid w:val="00207725"/>
    <w:rsid w:val="00214C8F"/>
    <w:rsid w:val="0021622D"/>
    <w:rsid w:val="002203FD"/>
    <w:rsid w:val="002319D8"/>
    <w:rsid w:val="00231C7E"/>
    <w:rsid w:val="00232ACC"/>
    <w:rsid w:val="00236B96"/>
    <w:rsid w:val="00244DBB"/>
    <w:rsid w:val="00245AE7"/>
    <w:rsid w:val="00247017"/>
    <w:rsid w:val="002500F1"/>
    <w:rsid w:val="00250975"/>
    <w:rsid w:val="00251BC1"/>
    <w:rsid w:val="00253875"/>
    <w:rsid w:val="002538F6"/>
    <w:rsid w:val="00257B90"/>
    <w:rsid w:val="00257C96"/>
    <w:rsid w:val="00264ABF"/>
    <w:rsid w:val="00266CBB"/>
    <w:rsid w:val="002706E7"/>
    <w:rsid w:val="0027599D"/>
    <w:rsid w:val="00277A38"/>
    <w:rsid w:val="00283282"/>
    <w:rsid w:val="00285B82"/>
    <w:rsid w:val="002959BC"/>
    <w:rsid w:val="00296283"/>
    <w:rsid w:val="002A1205"/>
    <w:rsid w:val="002A1A98"/>
    <w:rsid w:val="002A6114"/>
    <w:rsid w:val="002A7CF3"/>
    <w:rsid w:val="002B3046"/>
    <w:rsid w:val="002B4490"/>
    <w:rsid w:val="002B5219"/>
    <w:rsid w:val="002B7D3B"/>
    <w:rsid w:val="002C14EC"/>
    <w:rsid w:val="002C1771"/>
    <w:rsid w:val="002C5E1F"/>
    <w:rsid w:val="002D0C0A"/>
    <w:rsid w:val="002D0D1F"/>
    <w:rsid w:val="002D3EB3"/>
    <w:rsid w:val="002D5327"/>
    <w:rsid w:val="002E6C13"/>
    <w:rsid w:val="002E72A6"/>
    <w:rsid w:val="002E7A50"/>
    <w:rsid w:val="002F2C3E"/>
    <w:rsid w:val="003060E1"/>
    <w:rsid w:val="00312639"/>
    <w:rsid w:val="003176DD"/>
    <w:rsid w:val="0032127A"/>
    <w:rsid w:val="003219AE"/>
    <w:rsid w:val="00327967"/>
    <w:rsid w:val="00333523"/>
    <w:rsid w:val="00334614"/>
    <w:rsid w:val="0035306D"/>
    <w:rsid w:val="00354827"/>
    <w:rsid w:val="00355C67"/>
    <w:rsid w:val="003571BA"/>
    <w:rsid w:val="0036346D"/>
    <w:rsid w:val="00366904"/>
    <w:rsid w:val="003718C0"/>
    <w:rsid w:val="0037614F"/>
    <w:rsid w:val="00376FAB"/>
    <w:rsid w:val="003919EA"/>
    <w:rsid w:val="003931AA"/>
    <w:rsid w:val="003A02D7"/>
    <w:rsid w:val="003A2F94"/>
    <w:rsid w:val="003A3D0F"/>
    <w:rsid w:val="003A41FE"/>
    <w:rsid w:val="003A5ECC"/>
    <w:rsid w:val="003B48AA"/>
    <w:rsid w:val="003C0045"/>
    <w:rsid w:val="003C3BBB"/>
    <w:rsid w:val="003C53BD"/>
    <w:rsid w:val="003C5E6B"/>
    <w:rsid w:val="003D3CC3"/>
    <w:rsid w:val="003D6D00"/>
    <w:rsid w:val="003E017A"/>
    <w:rsid w:val="003E2C1E"/>
    <w:rsid w:val="003E3607"/>
    <w:rsid w:val="003E390E"/>
    <w:rsid w:val="003E49C3"/>
    <w:rsid w:val="003E6582"/>
    <w:rsid w:val="003E7C78"/>
    <w:rsid w:val="0040266C"/>
    <w:rsid w:val="00403EA9"/>
    <w:rsid w:val="00406D33"/>
    <w:rsid w:val="00411528"/>
    <w:rsid w:val="004143CB"/>
    <w:rsid w:val="0041678A"/>
    <w:rsid w:val="00416CE3"/>
    <w:rsid w:val="004235F7"/>
    <w:rsid w:val="004253A1"/>
    <w:rsid w:val="00427983"/>
    <w:rsid w:val="00430296"/>
    <w:rsid w:val="00430DFC"/>
    <w:rsid w:val="0043126C"/>
    <w:rsid w:val="00431294"/>
    <w:rsid w:val="0043401F"/>
    <w:rsid w:val="00443C54"/>
    <w:rsid w:val="0044417A"/>
    <w:rsid w:val="00451121"/>
    <w:rsid w:val="00460217"/>
    <w:rsid w:val="004611AE"/>
    <w:rsid w:val="00461F41"/>
    <w:rsid w:val="00462758"/>
    <w:rsid w:val="00462FFE"/>
    <w:rsid w:val="00463C29"/>
    <w:rsid w:val="004650FF"/>
    <w:rsid w:val="0046695E"/>
    <w:rsid w:val="00466E5C"/>
    <w:rsid w:val="004717AC"/>
    <w:rsid w:val="00472DF7"/>
    <w:rsid w:val="004759F4"/>
    <w:rsid w:val="00480CC9"/>
    <w:rsid w:val="0048106F"/>
    <w:rsid w:val="00484DBB"/>
    <w:rsid w:val="004869CD"/>
    <w:rsid w:val="004873A9"/>
    <w:rsid w:val="00487875"/>
    <w:rsid w:val="00487B11"/>
    <w:rsid w:val="0049413F"/>
    <w:rsid w:val="004975BA"/>
    <w:rsid w:val="00497E0B"/>
    <w:rsid w:val="004A42C0"/>
    <w:rsid w:val="004A4FEF"/>
    <w:rsid w:val="004B2D28"/>
    <w:rsid w:val="004B53C3"/>
    <w:rsid w:val="004C453C"/>
    <w:rsid w:val="004C5C0D"/>
    <w:rsid w:val="004C71EA"/>
    <w:rsid w:val="004C7FF5"/>
    <w:rsid w:val="004D1473"/>
    <w:rsid w:val="004D27F4"/>
    <w:rsid w:val="004D2FD3"/>
    <w:rsid w:val="004E2B2F"/>
    <w:rsid w:val="004E78B3"/>
    <w:rsid w:val="004F0FFA"/>
    <w:rsid w:val="004F1CA4"/>
    <w:rsid w:val="004F213D"/>
    <w:rsid w:val="0050001E"/>
    <w:rsid w:val="005004D0"/>
    <w:rsid w:val="00502CEC"/>
    <w:rsid w:val="00514309"/>
    <w:rsid w:val="005152EA"/>
    <w:rsid w:val="00522030"/>
    <w:rsid w:val="00523D74"/>
    <w:rsid w:val="00526490"/>
    <w:rsid w:val="00532AC3"/>
    <w:rsid w:val="0053479F"/>
    <w:rsid w:val="00535B6B"/>
    <w:rsid w:val="00540D5C"/>
    <w:rsid w:val="0054234D"/>
    <w:rsid w:val="005500D0"/>
    <w:rsid w:val="00551442"/>
    <w:rsid w:val="00554527"/>
    <w:rsid w:val="005548E4"/>
    <w:rsid w:val="00556322"/>
    <w:rsid w:val="00562703"/>
    <w:rsid w:val="0056280A"/>
    <w:rsid w:val="005703DA"/>
    <w:rsid w:val="00571AFB"/>
    <w:rsid w:val="005751A5"/>
    <w:rsid w:val="00585C55"/>
    <w:rsid w:val="00585EE3"/>
    <w:rsid w:val="00592D59"/>
    <w:rsid w:val="0059353C"/>
    <w:rsid w:val="005A0D92"/>
    <w:rsid w:val="005A74EC"/>
    <w:rsid w:val="005B2A50"/>
    <w:rsid w:val="005B33D7"/>
    <w:rsid w:val="005B3F47"/>
    <w:rsid w:val="005B53FE"/>
    <w:rsid w:val="005C4753"/>
    <w:rsid w:val="005D0FA7"/>
    <w:rsid w:val="005D3FB2"/>
    <w:rsid w:val="005D58FF"/>
    <w:rsid w:val="005E2EF8"/>
    <w:rsid w:val="005E3D15"/>
    <w:rsid w:val="005E3EA3"/>
    <w:rsid w:val="005E7A74"/>
    <w:rsid w:val="005F4E73"/>
    <w:rsid w:val="005F7661"/>
    <w:rsid w:val="00602CBC"/>
    <w:rsid w:val="00603D77"/>
    <w:rsid w:val="006075D9"/>
    <w:rsid w:val="0061054C"/>
    <w:rsid w:val="00610EF1"/>
    <w:rsid w:val="00622CB4"/>
    <w:rsid w:val="00623840"/>
    <w:rsid w:val="00631E76"/>
    <w:rsid w:val="00635B72"/>
    <w:rsid w:val="00640884"/>
    <w:rsid w:val="00640A56"/>
    <w:rsid w:val="00646B87"/>
    <w:rsid w:val="0065263B"/>
    <w:rsid w:val="00653ED5"/>
    <w:rsid w:val="00654891"/>
    <w:rsid w:val="006557A3"/>
    <w:rsid w:val="00657CAC"/>
    <w:rsid w:val="00664081"/>
    <w:rsid w:val="00666A2D"/>
    <w:rsid w:val="00670677"/>
    <w:rsid w:val="006761C0"/>
    <w:rsid w:val="006766E8"/>
    <w:rsid w:val="00684A07"/>
    <w:rsid w:val="00687196"/>
    <w:rsid w:val="0069265F"/>
    <w:rsid w:val="0069776D"/>
    <w:rsid w:val="006A3DEB"/>
    <w:rsid w:val="006A4D35"/>
    <w:rsid w:val="006A572F"/>
    <w:rsid w:val="006B1744"/>
    <w:rsid w:val="006B32D8"/>
    <w:rsid w:val="006B3603"/>
    <w:rsid w:val="006B5F50"/>
    <w:rsid w:val="006B6467"/>
    <w:rsid w:val="006B6A7F"/>
    <w:rsid w:val="006B6AC4"/>
    <w:rsid w:val="006C1A6C"/>
    <w:rsid w:val="006C1D6D"/>
    <w:rsid w:val="006C3F31"/>
    <w:rsid w:val="006C524F"/>
    <w:rsid w:val="006C6145"/>
    <w:rsid w:val="006D01FE"/>
    <w:rsid w:val="006D48DA"/>
    <w:rsid w:val="006D7BCE"/>
    <w:rsid w:val="006F57FD"/>
    <w:rsid w:val="00700F96"/>
    <w:rsid w:val="007113EC"/>
    <w:rsid w:val="0071549C"/>
    <w:rsid w:val="00715F77"/>
    <w:rsid w:val="007206C6"/>
    <w:rsid w:val="00722859"/>
    <w:rsid w:val="00723040"/>
    <w:rsid w:val="00732DCE"/>
    <w:rsid w:val="00741B79"/>
    <w:rsid w:val="00753047"/>
    <w:rsid w:val="007541D0"/>
    <w:rsid w:val="00760633"/>
    <w:rsid w:val="007635C0"/>
    <w:rsid w:val="00766986"/>
    <w:rsid w:val="00766EC1"/>
    <w:rsid w:val="0076781B"/>
    <w:rsid w:val="0077066D"/>
    <w:rsid w:val="00770A7A"/>
    <w:rsid w:val="00785254"/>
    <w:rsid w:val="00785267"/>
    <w:rsid w:val="00790A7C"/>
    <w:rsid w:val="00790F94"/>
    <w:rsid w:val="00795E94"/>
    <w:rsid w:val="007A03D7"/>
    <w:rsid w:val="007B2700"/>
    <w:rsid w:val="007B3B11"/>
    <w:rsid w:val="007B7F18"/>
    <w:rsid w:val="007C1B50"/>
    <w:rsid w:val="007C512A"/>
    <w:rsid w:val="007F047F"/>
    <w:rsid w:val="007F50E1"/>
    <w:rsid w:val="007F6D29"/>
    <w:rsid w:val="00801D45"/>
    <w:rsid w:val="00814CD3"/>
    <w:rsid w:val="008174D7"/>
    <w:rsid w:val="008274F5"/>
    <w:rsid w:val="008334F8"/>
    <w:rsid w:val="00833A28"/>
    <w:rsid w:val="00833FB8"/>
    <w:rsid w:val="00837C0B"/>
    <w:rsid w:val="00844AB5"/>
    <w:rsid w:val="00845F6F"/>
    <w:rsid w:val="00847095"/>
    <w:rsid w:val="0084710E"/>
    <w:rsid w:val="00847A90"/>
    <w:rsid w:val="00855EC3"/>
    <w:rsid w:val="00862A08"/>
    <w:rsid w:val="00863158"/>
    <w:rsid w:val="00864D54"/>
    <w:rsid w:val="00870E9F"/>
    <w:rsid w:val="0087523B"/>
    <w:rsid w:val="00880441"/>
    <w:rsid w:val="0088164D"/>
    <w:rsid w:val="00882727"/>
    <w:rsid w:val="00882A05"/>
    <w:rsid w:val="0088519A"/>
    <w:rsid w:val="00893367"/>
    <w:rsid w:val="008936B3"/>
    <w:rsid w:val="00896608"/>
    <w:rsid w:val="008A3A76"/>
    <w:rsid w:val="008A632B"/>
    <w:rsid w:val="008A65E4"/>
    <w:rsid w:val="008A7753"/>
    <w:rsid w:val="008A7E75"/>
    <w:rsid w:val="008B1188"/>
    <w:rsid w:val="008C017A"/>
    <w:rsid w:val="008C359E"/>
    <w:rsid w:val="008C7941"/>
    <w:rsid w:val="008D342E"/>
    <w:rsid w:val="008D41CA"/>
    <w:rsid w:val="008D622F"/>
    <w:rsid w:val="008D6A4F"/>
    <w:rsid w:val="008E599C"/>
    <w:rsid w:val="008E5A13"/>
    <w:rsid w:val="008E66E3"/>
    <w:rsid w:val="008E79A2"/>
    <w:rsid w:val="008F0044"/>
    <w:rsid w:val="008F1389"/>
    <w:rsid w:val="008F335B"/>
    <w:rsid w:val="008F3655"/>
    <w:rsid w:val="008F5919"/>
    <w:rsid w:val="008F7745"/>
    <w:rsid w:val="008F7AAA"/>
    <w:rsid w:val="00902260"/>
    <w:rsid w:val="00902EAF"/>
    <w:rsid w:val="00905537"/>
    <w:rsid w:val="00907310"/>
    <w:rsid w:val="009112F6"/>
    <w:rsid w:val="009135D3"/>
    <w:rsid w:val="00914730"/>
    <w:rsid w:val="00914A60"/>
    <w:rsid w:val="0093253B"/>
    <w:rsid w:val="009335B6"/>
    <w:rsid w:val="0094177B"/>
    <w:rsid w:val="0094281F"/>
    <w:rsid w:val="009437BB"/>
    <w:rsid w:val="009668F2"/>
    <w:rsid w:val="00970C12"/>
    <w:rsid w:val="009728CC"/>
    <w:rsid w:val="00973292"/>
    <w:rsid w:val="00973CF4"/>
    <w:rsid w:val="00976E32"/>
    <w:rsid w:val="009809E9"/>
    <w:rsid w:val="0098715A"/>
    <w:rsid w:val="00996579"/>
    <w:rsid w:val="009A0DF1"/>
    <w:rsid w:val="009A50C6"/>
    <w:rsid w:val="009A50EE"/>
    <w:rsid w:val="009A6613"/>
    <w:rsid w:val="009B0AB8"/>
    <w:rsid w:val="009B0D74"/>
    <w:rsid w:val="009D06C9"/>
    <w:rsid w:val="009D1930"/>
    <w:rsid w:val="009D7D44"/>
    <w:rsid w:val="009E1D92"/>
    <w:rsid w:val="009E39F7"/>
    <w:rsid w:val="009E7AA1"/>
    <w:rsid w:val="009F044A"/>
    <w:rsid w:val="009F1211"/>
    <w:rsid w:val="009F1ADA"/>
    <w:rsid w:val="009F3C24"/>
    <w:rsid w:val="009F3E2A"/>
    <w:rsid w:val="00A059CD"/>
    <w:rsid w:val="00A067EF"/>
    <w:rsid w:val="00A07AA3"/>
    <w:rsid w:val="00A1443A"/>
    <w:rsid w:val="00A2121F"/>
    <w:rsid w:val="00A266AB"/>
    <w:rsid w:val="00A26FBD"/>
    <w:rsid w:val="00A375FC"/>
    <w:rsid w:val="00A40FCB"/>
    <w:rsid w:val="00A4131B"/>
    <w:rsid w:val="00A45507"/>
    <w:rsid w:val="00A45E9B"/>
    <w:rsid w:val="00A461C6"/>
    <w:rsid w:val="00A47A32"/>
    <w:rsid w:val="00A510E2"/>
    <w:rsid w:val="00A51529"/>
    <w:rsid w:val="00A57A13"/>
    <w:rsid w:val="00A61158"/>
    <w:rsid w:val="00A70F69"/>
    <w:rsid w:val="00A72BBA"/>
    <w:rsid w:val="00A74A7E"/>
    <w:rsid w:val="00A95B4B"/>
    <w:rsid w:val="00AC0E6E"/>
    <w:rsid w:val="00AE1D64"/>
    <w:rsid w:val="00AE2993"/>
    <w:rsid w:val="00AE695C"/>
    <w:rsid w:val="00AF084A"/>
    <w:rsid w:val="00B00603"/>
    <w:rsid w:val="00B00C72"/>
    <w:rsid w:val="00B02767"/>
    <w:rsid w:val="00B05945"/>
    <w:rsid w:val="00B12C6D"/>
    <w:rsid w:val="00B13BC2"/>
    <w:rsid w:val="00B1463F"/>
    <w:rsid w:val="00B15FDF"/>
    <w:rsid w:val="00B2513D"/>
    <w:rsid w:val="00B2707C"/>
    <w:rsid w:val="00B3510A"/>
    <w:rsid w:val="00B35AA4"/>
    <w:rsid w:val="00B362A4"/>
    <w:rsid w:val="00B51F1B"/>
    <w:rsid w:val="00B527EA"/>
    <w:rsid w:val="00B53884"/>
    <w:rsid w:val="00B56B66"/>
    <w:rsid w:val="00B57347"/>
    <w:rsid w:val="00B62770"/>
    <w:rsid w:val="00B66039"/>
    <w:rsid w:val="00B72BA5"/>
    <w:rsid w:val="00B74292"/>
    <w:rsid w:val="00B81B3C"/>
    <w:rsid w:val="00B85ACB"/>
    <w:rsid w:val="00B863A4"/>
    <w:rsid w:val="00B879FC"/>
    <w:rsid w:val="00B94507"/>
    <w:rsid w:val="00B953DD"/>
    <w:rsid w:val="00BA40BE"/>
    <w:rsid w:val="00BA44A4"/>
    <w:rsid w:val="00BA745F"/>
    <w:rsid w:val="00BB3A26"/>
    <w:rsid w:val="00BB3F79"/>
    <w:rsid w:val="00BC213B"/>
    <w:rsid w:val="00BC6148"/>
    <w:rsid w:val="00BC64BA"/>
    <w:rsid w:val="00BD07B0"/>
    <w:rsid w:val="00BD2445"/>
    <w:rsid w:val="00BD245D"/>
    <w:rsid w:val="00BD3393"/>
    <w:rsid w:val="00BD420C"/>
    <w:rsid w:val="00BD48A1"/>
    <w:rsid w:val="00BD5229"/>
    <w:rsid w:val="00BD665A"/>
    <w:rsid w:val="00BE033F"/>
    <w:rsid w:val="00BE175E"/>
    <w:rsid w:val="00BE35E3"/>
    <w:rsid w:val="00BE5DBF"/>
    <w:rsid w:val="00C023E1"/>
    <w:rsid w:val="00C05DC5"/>
    <w:rsid w:val="00C11209"/>
    <w:rsid w:val="00C12883"/>
    <w:rsid w:val="00C249FD"/>
    <w:rsid w:val="00C402E3"/>
    <w:rsid w:val="00C45FD7"/>
    <w:rsid w:val="00C54154"/>
    <w:rsid w:val="00C56568"/>
    <w:rsid w:val="00C56F4E"/>
    <w:rsid w:val="00C64C73"/>
    <w:rsid w:val="00C6609A"/>
    <w:rsid w:val="00C746BF"/>
    <w:rsid w:val="00C77D78"/>
    <w:rsid w:val="00C80A68"/>
    <w:rsid w:val="00C80A98"/>
    <w:rsid w:val="00C816FB"/>
    <w:rsid w:val="00C84678"/>
    <w:rsid w:val="00C8483B"/>
    <w:rsid w:val="00C91AE7"/>
    <w:rsid w:val="00C948C1"/>
    <w:rsid w:val="00C96EF5"/>
    <w:rsid w:val="00CA08E2"/>
    <w:rsid w:val="00CA1688"/>
    <w:rsid w:val="00CA2679"/>
    <w:rsid w:val="00CA7499"/>
    <w:rsid w:val="00CB2C4D"/>
    <w:rsid w:val="00CB4F9E"/>
    <w:rsid w:val="00CC7F98"/>
    <w:rsid w:val="00CD5F49"/>
    <w:rsid w:val="00CE1467"/>
    <w:rsid w:val="00D009F4"/>
    <w:rsid w:val="00D02D65"/>
    <w:rsid w:val="00D06025"/>
    <w:rsid w:val="00D066B2"/>
    <w:rsid w:val="00D0768B"/>
    <w:rsid w:val="00D10FF3"/>
    <w:rsid w:val="00D17271"/>
    <w:rsid w:val="00D22182"/>
    <w:rsid w:val="00D304BD"/>
    <w:rsid w:val="00D321A6"/>
    <w:rsid w:val="00D33E82"/>
    <w:rsid w:val="00D36FEA"/>
    <w:rsid w:val="00D432F0"/>
    <w:rsid w:val="00D558A0"/>
    <w:rsid w:val="00D57BC8"/>
    <w:rsid w:val="00D60EE0"/>
    <w:rsid w:val="00D61B94"/>
    <w:rsid w:val="00D63630"/>
    <w:rsid w:val="00D65665"/>
    <w:rsid w:val="00D67358"/>
    <w:rsid w:val="00D71D19"/>
    <w:rsid w:val="00D725A5"/>
    <w:rsid w:val="00D8026C"/>
    <w:rsid w:val="00D84790"/>
    <w:rsid w:val="00D9159F"/>
    <w:rsid w:val="00DA16D9"/>
    <w:rsid w:val="00DA3584"/>
    <w:rsid w:val="00DA7E02"/>
    <w:rsid w:val="00DB0284"/>
    <w:rsid w:val="00DB632A"/>
    <w:rsid w:val="00DD25C3"/>
    <w:rsid w:val="00DD43F2"/>
    <w:rsid w:val="00DD7275"/>
    <w:rsid w:val="00DE3222"/>
    <w:rsid w:val="00DE3EBB"/>
    <w:rsid w:val="00DE40E3"/>
    <w:rsid w:val="00DF0052"/>
    <w:rsid w:val="00DF120D"/>
    <w:rsid w:val="00DF2849"/>
    <w:rsid w:val="00E00040"/>
    <w:rsid w:val="00E01272"/>
    <w:rsid w:val="00E03025"/>
    <w:rsid w:val="00E0326F"/>
    <w:rsid w:val="00E03447"/>
    <w:rsid w:val="00E03B99"/>
    <w:rsid w:val="00E0769D"/>
    <w:rsid w:val="00E138E6"/>
    <w:rsid w:val="00E14738"/>
    <w:rsid w:val="00E20CE0"/>
    <w:rsid w:val="00E20F47"/>
    <w:rsid w:val="00E325DD"/>
    <w:rsid w:val="00E32A17"/>
    <w:rsid w:val="00E32A7E"/>
    <w:rsid w:val="00E33A7E"/>
    <w:rsid w:val="00E34FF5"/>
    <w:rsid w:val="00E35E1E"/>
    <w:rsid w:val="00E35EC3"/>
    <w:rsid w:val="00E43BDD"/>
    <w:rsid w:val="00E465F6"/>
    <w:rsid w:val="00E46F02"/>
    <w:rsid w:val="00E516E8"/>
    <w:rsid w:val="00E5210E"/>
    <w:rsid w:val="00E552B8"/>
    <w:rsid w:val="00E56E1B"/>
    <w:rsid w:val="00E64020"/>
    <w:rsid w:val="00E72A56"/>
    <w:rsid w:val="00E732A6"/>
    <w:rsid w:val="00E75888"/>
    <w:rsid w:val="00E76AF6"/>
    <w:rsid w:val="00E80F8D"/>
    <w:rsid w:val="00E873CF"/>
    <w:rsid w:val="00E92BF1"/>
    <w:rsid w:val="00E943EC"/>
    <w:rsid w:val="00E96213"/>
    <w:rsid w:val="00EA4A7F"/>
    <w:rsid w:val="00EB1826"/>
    <w:rsid w:val="00EB5C92"/>
    <w:rsid w:val="00EB69D2"/>
    <w:rsid w:val="00EC1C45"/>
    <w:rsid w:val="00EC424A"/>
    <w:rsid w:val="00EC6164"/>
    <w:rsid w:val="00EC64F1"/>
    <w:rsid w:val="00ED1A0F"/>
    <w:rsid w:val="00ED3357"/>
    <w:rsid w:val="00EE03F8"/>
    <w:rsid w:val="00EE146C"/>
    <w:rsid w:val="00EE20E4"/>
    <w:rsid w:val="00EE6311"/>
    <w:rsid w:val="00EE6AB8"/>
    <w:rsid w:val="00F11B42"/>
    <w:rsid w:val="00F11C94"/>
    <w:rsid w:val="00F14F28"/>
    <w:rsid w:val="00F228CD"/>
    <w:rsid w:val="00F24415"/>
    <w:rsid w:val="00F3266F"/>
    <w:rsid w:val="00F4298B"/>
    <w:rsid w:val="00F45045"/>
    <w:rsid w:val="00F51ED8"/>
    <w:rsid w:val="00F52E5E"/>
    <w:rsid w:val="00F665E2"/>
    <w:rsid w:val="00F6691D"/>
    <w:rsid w:val="00F67494"/>
    <w:rsid w:val="00F67FA8"/>
    <w:rsid w:val="00F751B4"/>
    <w:rsid w:val="00F825EA"/>
    <w:rsid w:val="00F8279F"/>
    <w:rsid w:val="00F856B0"/>
    <w:rsid w:val="00F85E97"/>
    <w:rsid w:val="00F92B36"/>
    <w:rsid w:val="00F954FC"/>
    <w:rsid w:val="00F95E0F"/>
    <w:rsid w:val="00F96857"/>
    <w:rsid w:val="00F96917"/>
    <w:rsid w:val="00F96925"/>
    <w:rsid w:val="00FA0806"/>
    <w:rsid w:val="00FA176E"/>
    <w:rsid w:val="00FA7082"/>
    <w:rsid w:val="00FB1D99"/>
    <w:rsid w:val="00FB20A6"/>
    <w:rsid w:val="00FB6A07"/>
    <w:rsid w:val="00FB6F68"/>
    <w:rsid w:val="00FB78AA"/>
    <w:rsid w:val="00FC3211"/>
    <w:rsid w:val="00FC4F77"/>
    <w:rsid w:val="00FC65E1"/>
    <w:rsid w:val="00FC68DC"/>
    <w:rsid w:val="00FC6CAB"/>
    <w:rsid w:val="00FD10A8"/>
    <w:rsid w:val="00FD147C"/>
    <w:rsid w:val="00FD575B"/>
    <w:rsid w:val="00FD7894"/>
    <w:rsid w:val="00FE1153"/>
    <w:rsid w:val="00FE269A"/>
    <w:rsid w:val="00FE5138"/>
    <w:rsid w:val="00FE5719"/>
    <w:rsid w:val="00FE6722"/>
    <w:rsid w:val="00FE7183"/>
    <w:rsid w:val="00FE761F"/>
    <w:rsid w:val="00FF0E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5C8DE6"/>
  <w15:docId w15:val="{A48BD3CF-5E66-4D63-B957-A56941704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1ED8"/>
    <w:rPr>
      <w:rFonts w:ascii="Times New Roman" w:eastAsia="SimSun" w:hAnsi="Times New Roman" w:cs="Times New Roman"/>
      <w:kern w:val="0"/>
      <w:sz w:val="20"/>
      <w:szCs w:val="20"/>
      <w:lang w:val="en-GB" w:eastAsia="en-US"/>
    </w:rPr>
  </w:style>
  <w:style w:type="paragraph" w:styleId="1">
    <w:name w:val="heading 1"/>
    <w:basedOn w:val="a0"/>
    <w:next w:val="a0"/>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0"/>
    <w:next w:val="a0"/>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0"/>
    <w:next w:val="a0"/>
    <w:link w:val="30"/>
    <w:uiPriority w:val="9"/>
    <w:unhideWhenUsed/>
    <w:qFormat/>
    <w:rsid w:val="00603D77"/>
    <w:pPr>
      <w:keepNext/>
      <w:ind w:leftChars="400" w:left="400"/>
      <w:outlineLvl w:val="2"/>
    </w:pPr>
    <w:rPr>
      <w:rFonts w:asciiTheme="majorHAnsi" w:eastAsiaTheme="majorEastAsia" w:hAnsiTheme="majorHAnsi" w:cstheme="majorBidi"/>
    </w:rPr>
  </w:style>
  <w:style w:type="paragraph" w:styleId="40">
    <w:name w:val="heading 4"/>
    <w:basedOn w:val="a0"/>
    <w:next w:val="a0"/>
    <w:link w:val="41"/>
    <w:uiPriority w:val="9"/>
    <w:unhideWhenUsed/>
    <w:qFormat/>
    <w:rsid w:val="008274F5"/>
    <w:pPr>
      <w:keepNext/>
      <w:ind w:leftChars="400" w:left="4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4">
    <w:name w:val="首标题"/>
    <w:rsid w:val="00DD43F2"/>
    <w:rPr>
      <w:rFonts w:ascii="Arial" w:eastAsia="SimSun" w:hAnsi="Arial"/>
      <w:sz w:val="24"/>
      <w:lang w:val="en-US" w:eastAsia="zh-CN" w:bidi="ar-SA"/>
    </w:rPr>
  </w:style>
  <w:style w:type="paragraph" w:customStyle="1" w:styleId="4">
    <w:name w:val="标题4"/>
    <w:basedOn w:val="a0"/>
    <w:rsid w:val="00DD43F2"/>
    <w:pPr>
      <w:numPr>
        <w:numId w:val="1"/>
      </w:numPr>
      <w:spacing w:after="18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DD43F2"/>
    <w:pPr>
      <w:widowControl w:val="0"/>
    </w:pPr>
    <w:rPr>
      <w:rFonts w:ascii="Arial" w:eastAsia="ＭＳ 明朝" w:hAnsi="Arial" w:cs="Times New Roman"/>
      <w:b/>
      <w:noProof/>
      <w:kern w:val="0"/>
      <w:sz w:val="18"/>
      <w:szCs w:val="20"/>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5"/>
    <w:rsid w:val="00DD43F2"/>
    <w:rPr>
      <w:rFonts w:ascii="Arial" w:eastAsia="ＭＳ 明朝" w:hAnsi="Arial" w:cs="Times New Roman"/>
      <w:b/>
      <w:noProof/>
      <w:kern w:val="0"/>
      <w:sz w:val="18"/>
      <w:szCs w:val="20"/>
      <w:lang w:val="en-GB" w:eastAsia="en-US"/>
    </w:rPr>
  </w:style>
  <w:style w:type="character" w:customStyle="1" w:styleId="10">
    <w:name w:val="見出し 1 (文字)"/>
    <w:basedOn w:val="a1"/>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1"/>
    <w:link w:val="2"/>
    <w:uiPriority w:val="9"/>
    <w:rsid w:val="00551442"/>
    <w:rPr>
      <w:rFonts w:ascii="Arial" w:eastAsia="Arial" w:hAnsiTheme="majorHAnsi" w:cstheme="majorBidi"/>
      <w:kern w:val="0"/>
      <w:sz w:val="28"/>
      <w:szCs w:val="20"/>
      <w:lang w:val="en-GB"/>
    </w:rPr>
  </w:style>
  <w:style w:type="paragraph" w:styleId="a7">
    <w:name w:val="List Paragraph"/>
    <w:basedOn w:val="a0"/>
    <w:uiPriority w:val="34"/>
    <w:qFormat/>
    <w:rsid w:val="00640884"/>
    <w:pPr>
      <w:ind w:leftChars="400" w:left="840"/>
    </w:pPr>
  </w:style>
  <w:style w:type="table" w:styleId="a8">
    <w:name w:val="Table Grid"/>
    <w:basedOn w:val="a2"/>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0"/>
    <w:link w:val="aa"/>
    <w:uiPriority w:val="99"/>
    <w:unhideWhenUsed/>
    <w:rsid w:val="00585EE3"/>
    <w:pPr>
      <w:tabs>
        <w:tab w:val="center" w:pos="4252"/>
        <w:tab w:val="right" w:pos="8504"/>
      </w:tabs>
      <w:snapToGrid w:val="0"/>
    </w:pPr>
  </w:style>
  <w:style w:type="character" w:customStyle="1" w:styleId="aa">
    <w:name w:val="フッター (文字)"/>
    <w:basedOn w:val="a1"/>
    <w:link w:val="a9"/>
    <w:uiPriority w:val="99"/>
    <w:rsid w:val="00585EE3"/>
    <w:rPr>
      <w:rFonts w:ascii="Times New Roman" w:eastAsia="SimSun" w:hAnsi="Times New Roman" w:cs="Times New Roman"/>
      <w:kern w:val="0"/>
      <w:sz w:val="20"/>
      <w:szCs w:val="20"/>
      <w:lang w:val="en-GB" w:eastAsia="en-US"/>
    </w:rPr>
  </w:style>
  <w:style w:type="paragraph" w:styleId="ab">
    <w:name w:val="Balloon Text"/>
    <w:basedOn w:val="a0"/>
    <w:link w:val="ac"/>
    <w:uiPriority w:val="99"/>
    <w:semiHidden/>
    <w:unhideWhenUsed/>
    <w:rsid w:val="003D6D00"/>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3D6D00"/>
    <w:rPr>
      <w:rFonts w:asciiTheme="majorHAnsi" w:eastAsiaTheme="majorEastAsia" w:hAnsiTheme="majorHAnsi" w:cstheme="majorBidi"/>
      <w:kern w:val="0"/>
      <w:sz w:val="18"/>
      <w:szCs w:val="18"/>
      <w:lang w:val="en-GB" w:eastAsia="en-US"/>
    </w:rPr>
  </w:style>
  <w:style w:type="character" w:styleId="ad">
    <w:name w:val="annotation reference"/>
    <w:basedOn w:val="a1"/>
    <w:uiPriority w:val="99"/>
    <w:semiHidden/>
    <w:unhideWhenUsed/>
    <w:rsid w:val="002A6114"/>
    <w:rPr>
      <w:sz w:val="18"/>
      <w:szCs w:val="18"/>
    </w:rPr>
  </w:style>
  <w:style w:type="paragraph" w:styleId="ae">
    <w:name w:val="annotation text"/>
    <w:basedOn w:val="a0"/>
    <w:link w:val="af"/>
    <w:uiPriority w:val="99"/>
    <w:semiHidden/>
    <w:unhideWhenUsed/>
    <w:rsid w:val="002A6114"/>
  </w:style>
  <w:style w:type="character" w:customStyle="1" w:styleId="af">
    <w:name w:val="コメント文字列 (文字)"/>
    <w:basedOn w:val="a1"/>
    <w:link w:val="ae"/>
    <w:uiPriority w:val="99"/>
    <w:semiHidden/>
    <w:rsid w:val="002A6114"/>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2A6114"/>
    <w:rPr>
      <w:b/>
      <w:bCs/>
    </w:rPr>
  </w:style>
  <w:style w:type="character" w:customStyle="1" w:styleId="af1">
    <w:name w:val="コメント内容 (文字)"/>
    <w:basedOn w:val="af"/>
    <w:link w:val="af0"/>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1"/>
    <w:link w:val="3"/>
    <w:uiPriority w:val="9"/>
    <w:rsid w:val="00603D77"/>
    <w:rPr>
      <w:rFonts w:asciiTheme="majorHAnsi" w:eastAsiaTheme="majorEastAsia" w:hAnsiTheme="majorHAnsi" w:cstheme="majorBidi"/>
      <w:kern w:val="0"/>
      <w:sz w:val="20"/>
      <w:szCs w:val="20"/>
      <w:lang w:val="en-GB" w:eastAsia="en-US"/>
    </w:rPr>
  </w:style>
  <w:style w:type="paragraph" w:customStyle="1" w:styleId="TAH">
    <w:name w:val="TAH"/>
    <w:basedOn w:val="a0"/>
    <w:link w:val="TAHCar"/>
    <w:qFormat/>
    <w:rsid w:val="00C948C1"/>
    <w:pPr>
      <w:keepNext/>
      <w:keepLines/>
      <w:jc w:val="center"/>
    </w:pPr>
    <w:rPr>
      <w:rFonts w:ascii="Arial" w:eastAsiaTheme="minorEastAsia" w:hAnsi="Arial"/>
      <w:b/>
      <w:sz w:val="18"/>
    </w:rPr>
  </w:style>
  <w:style w:type="paragraph" w:customStyle="1" w:styleId="TH">
    <w:name w:val="TH"/>
    <w:basedOn w:val="a0"/>
    <w:link w:val="THChar"/>
    <w:qFormat/>
    <w:rsid w:val="00C948C1"/>
    <w:pPr>
      <w:keepNext/>
      <w:keepLines/>
      <w:spacing w:before="60" w:after="180"/>
      <w:jc w:val="center"/>
    </w:pPr>
    <w:rPr>
      <w:rFonts w:ascii="Arial" w:eastAsiaTheme="minorEastAsia" w:hAnsi="Arial"/>
      <w:b/>
    </w:rPr>
  </w:style>
  <w:style w:type="paragraph" w:customStyle="1" w:styleId="TAL">
    <w:name w:val="TAL"/>
    <w:basedOn w:val="a0"/>
    <w:link w:val="TALCar"/>
    <w:qFormat/>
    <w:rsid w:val="00C948C1"/>
    <w:pPr>
      <w:keepNext/>
      <w:keepLines/>
    </w:pPr>
    <w:rPr>
      <w:rFonts w:ascii="Arial" w:eastAsiaTheme="minorEastAsia" w:hAnsi="Arial"/>
      <w:sz w:val="18"/>
    </w:rPr>
  </w:style>
  <w:style w:type="character" w:customStyle="1" w:styleId="THChar">
    <w:name w:val="TH Char"/>
    <w:link w:val="TH"/>
    <w:qFormat/>
    <w:rsid w:val="00C948C1"/>
    <w:rPr>
      <w:rFonts w:ascii="Arial" w:hAnsi="Arial" w:cs="Times New Roman"/>
      <w:b/>
      <w:kern w:val="0"/>
      <w:sz w:val="20"/>
      <w:szCs w:val="20"/>
      <w:lang w:val="en-GB" w:eastAsia="en-US"/>
    </w:rPr>
  </w:style>
  <w:style w:type="character" w:customStyle="1" w:styleId="TAHCar">
    <w:name w:val="TAH Car"/>
    <w:link w:val="TAH"/>
    <w:qFormat/>
    <w:rsid w:val="00C948C1"/>
    <w:rPr>
      <w:rFonts w:ascii="Arial" w:hAnsi="Arial" w:cs="Times New Roman"/>
      <w:b/>
      <w:kern w:val="0"/>
      <w:sz w:val="18"/>
      <w:szCs w:val="20"/>
      <w:lang w:val="en-GB" w:eastAsia="en-US"/>
    </w:rPr>
  </w:style>
  <w:style w:type="character" w:customStyle="1" w:styleId="TALCar">
    <w:name w:val="TAL Car"/>
    <w:link w:val="TAL"/>
    <w:rsid w:val="00C948C1"/>
    <w:rPr>
      <w:rFonts w:ascii="Arial" w:hAnsi="Arial" w:cs="Times New Roman"/>
      <w:kern w:val="0"/>
      <w:sz w:val="18"/>
      <w:szCs w:val="20"/>
      <w:lang w:val="en-GB" w:eastAsia="en-US"/>
    </w:rPr>
  </w:style>
  <w:style w:type="paragraph" w:styleId="Web">
    <w:name w:val="Normal (Web)"/>
    <w:basedOn w:val="a0"/>
    <w:uiPriority w:val="99"/>
    <w:semiHidden/>
    <w:unhideWhenUsed/>
    <w:rsid w:val="008A7E75"/>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C">
    <w:name w:val="TAC"/>
    <w:basedOn w:val="TAL"/>
    <w:link w:val="TACChar"/>
    <w:qFormat/>
    <w:rsid w:val="00D10FF3"/>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D10FF3"/>
    <w:rPr>
      <w:rFonts w:ascii="Arial" w:eastAsia="SimSun" w:hAnsi="Arial" w:cs="Times New Roman"/>
      <w:kern w:val="0"/>
      <w:sz w:val="18"/>
      <w:szCs w:val="20"/>
      <w:lang w:val="en-GB" w:eastAsia="en-US"/>
    </w:rPr>
  </w:style>
  <w:style w:type="character" w:customStyle="1" w:styleId="41">
    <w:name w:val="見出し 4 (文字)"/>
    <w:basedOn w:val="a1"/>
    <w:link w:val="40"/>
    <w:uiPriority w:val="9"/>
    <w:rsid w:val="008274F5"/>
    <w:rPr>
      <w:rFonts w:ascii="Times New Roman" w:eastAsia="SimSun" w:hAnsi="Times New Roman" w:cs="Times New Roman"/>
      <w:b/>
      <w:bCs/>
      <w:kern w:val="0"/>
      <w:sz w:val="20"/>
      <w:szCs w:val="20"/>
      <w:lang w:val="en-GB" w:eastAsia="en-US"/>
    </w:rPr>
  </w:style>
  <w:style w:type="paragraph" w:styleId="21">
    <w:name w:val="List Bullet 2"/>
    <w:basedOn w:val="a"/>
    <w:link w:val="22"/>
    <w:rsid w:val="00C54154"/>
    <w:pPr>
      <w:numPr>
        <w:numId w:val="0"/>
      </w:numPr>
      <w:spacing w:after="180"/>
      <w:ind w:left="851" w:hanging="284"/>
      <w:contextualSpacing w:val="0"/>
    </w:pPr>
  </w:style>
  <w:style w:type="paragraph" w:customStyle="1" w:styleId="TAN">
    <w:name w:val="TAN"/>
    <w:basedOn w:val="TAL"/>
    <w:link w:val="TANChar"/>
    <w:qFormat/>
    <w:rsid w:val="00C54154"/>
    <w:pPr>
      <w:ind w:left="851" w:hanging="851"/>
    </w:pPr>
    <w:rPr>
      <w:rFonts w:eastAsia="SimSun"/>
    </w:rPr>
  </w:style>
  <w:style w:type="character" w:customStyle="1" w:styleId="TANChar">
    <w:name w:val="TAN Char"/>
    <w:link w:val="TAN"/>
    <w:qFormat/>
    <w:rsid w:val="00C54154"/>
    <w:rPr>
      <w:rFonts w:ascii="Arial" w:eastAsia="SimSun" w:hAnsi="Arial" w:cs="Times New Roman"/>
      <w:kern w:val="0"/>
      <w:sz w:val="18"/>
      <w:szCs w:val="20"/>
      <w:lang w:val="en-GB" w:eastAsia="en-US"/>
    </w:rPr>
  </w:style>
  <w:style w:type="character" w:customStyle="1" w:styleId="TALChar">
    <w:name w:val="TAL Char"/>
    <w:locked/>
    <w:rsid w:val="00C54154"/>
    <w:rPr>
      <w:rFonts w:ascii="Arial" w:hAnsi="Arial" w:cs="Arial"/>
      <w:sz w:val="18"/>
      <w:lang w:val="en-GB"/>
    </w:rPr>
  </w:style>
  <w:style w:type="character" w:customStyle="1" w:styleId="22">
    <w:name w:val="箇条書き 2 (文字)"/>
    <w:link w:val="21"/>
    <w:rsid w:val="00C54154"/>
    <w:rPr>
      <w:rFonts w:ascii="Times New Roman" w:eastAsia="SimSun" w:hAnsi="Times New Roman" w:cs="Times New Roman"/>
      <w:kern w:val="0"/>
      <w:sz w:val="20"/>
      <w:szCs w:val="20"/>
      <w:lang w:val="en-GB" w:eastAsia="en-US"/>
    </w:rPr>
  </w:style>
  <w:style w:type="paragraph" w:styleId="a">
    <w:name w:val="List Bullet"/>
    <w:basedOn w:val="a0"/>
    <w:uiPriority w:val="99"/>
    <w:semiHidden/>
    <w:unhideWhenUsed/>
    <w:rsid w:val="00C54154"/>
    <w:pPr>
      <w:numPr>
        <w:numId w:val="22"/>
      </w:numPr>
      <w:contextualSpacing/>
    </w:pPr>
  </w:style>
  <w:style w:type="character" w:styleId="af2">
    <w:name w:val="Hyperlink"/>
    <w:basedOn w:val="a1"/>
    <w:uiPriority w:val="99"/>
    <w:unhideWhenUsed/>
    <w:rsid w:val="00EE6311"/>
    <w:rPr>
      <w:color w:val="0563C1" w:themeColor="hyperlink"/>
      <w:u w:val="single"/>
    </w:rPr>
  </w:style>
  <w:style w:type="character" w:customStyle="1" w:styleId="UnresolvedMention">
    <w:name w:val="Unresolved Mention"/>
    <w:basedOn w:val="a1"/>
    <w:uiPriority w:val="99"/>
    <w:semiHidden/>
    <w:unhideWhenUsed/>
    <w:rsid w:val="00EE6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278921607">
      <w:bodyDiv w:val="1"/>
      <w:marLeft w:val="0"/>
      <w:marRight w:val="0"/>
      <w:marTop w:val="0"/>
      <w:marBottom w:val="0"/>
      <w:divBdr>
        <w:top w:val="none" w:sz="0" w:space="0" w:color="auto"/>
        <w:left w:val="none" w:sz="0" w:space="0" w:color="auto"/>
        <w:bottom w:val="none" w:sz="0" w:space="0" w:color="auto"/>
        <w:right w:val="none" w:sz="0" w:space="0" w:color="auto"/>
      </w:divBdr>
      <w:divsChild>
        <w:div w:id="1704086476">
          <w:marLeft w:val="1800"/>
          <w:marRight w:val="0"/>
          <w:marTop w:val="96"/>
          <w:marBottom w:val="0"/>
          <w:divBdr>
            <w:top w:val="none" w:sz="0" w:space="0" w:color="auto"/>
            <w:left w:val="none" w:sz="0" w:space="0" w:color="auto"/>
            <w:bottom w:val="none" w:sz="0" w:space="0" w:color="auto"/>
            <w:right w:val="none" w:sz="0" w:space="0" w:color="auto"/>
          </w:divBdr>
        </w:div>
        <w:div w:id="1069498165">
          <w:marLeft w:val="2520"/>
          <w:marRight w:val="0"/>
          <w:marTop w:val="77"/>
          <w:marBottom w:val="0"/>
          <w:divBdr>
            <w:top w:val="none" w:sz="0" w:space="0" w:color="auto"/>
            <w:left w:val="none" w:sz="0" w:space="0" w:color="auto"/>
            <w:bottom w:val="none" w:sz="0" w:space="0" w:color="auto"/>
            <w:right w:val="none" w:sz="0" w:space="0" w:color="auto"/>
          </w:divBdr>
        </w:div>
        <w:div w:id="1121266510">
          <w:marLeft w:val="2520"/>
          <w:marRight w:val="0"/>
          <w:marTop w:val="77"/>
          <w:marBottom w:val="0"/>
          <w:divBdr>
            <w:top w:val="none" w:sz="0" w:space="0" w:color="auto"/>
            <w:left w:val="none" w:sz="0" w:space="0" w:color="auto"/>
            <w:bottom w:val="none" w:sz="0" w:space="0" w:color="auto"/>
            <w:right w:val="none" w:sz="0" w:space="0" w:color="auto"/>
          </w:divBdr>
        </w:div>
        <w:div w:id="1549223824">
          <w:marLeft w:val="1800"/>
          <w:marRight w:val="0"/>
          <w:marTop w:val="96"/>
          <w:marBottom w:val="0"/>
          <w:divBdr>
            <w:top w:val="none" w:sz="0" w:space="0" w:color="auto"/>
            <w:left w:val="none" w:sz="0" w:space="0" w:color="auto"/>
            <w:bottom w:val="none" w:sz="0" w:space="0" w:color="auto"/>
            <w:right w:val="none" w:sz="0" w:space="0" w:color="auto"/>
          </w:divBdr>
        </w:div>
        <w:div w:id="2088501668">
          <w:marLeft w:val="2520"/>
          <w:marRight w:val="0"/>
          <w:marTop w:val="77"/>
          <w:marBottom w:val="0"/>
          <w:divBdr>
            <w:top w:val="none" w:sz="0" w:space="0" w:color="auto"/>
            <w:left w:val="none" w:sz="0" w:space="0" w:color="auto"/>
            <w:bottom w:val="none" w:sz="0" w:space="0" w:color="auto"/>
            <w:right w:val="none" w:sz="0" w:space="0" w:color="auto"/>
          </w:divBdr>
        </w:div>
        <w:div w:id="1894465058">
          <w:marLeft w:val="2520"/>
          <w:marRight w:val="0"/>
          <w:marTop w:val="77"/>
          <w:marBottom w:val="0"/>
          <w:divBdr>
            <w:top w:val="none" w:sz="0" w:space="0" w:color="auto"/>
            <w:left w:val="none" w:sz="0" w:space="0" w:color="auto"/>
            <w:bottom w:val="none" w:sz="0" w:space="0" w:color="auto"/>
            <w:right w:val="none" w:sz="0" w:space="0" w:color="auto"/>
          </w:divBdr>
        </w:div>
        <w:div w:id="1760980957">
          <w:marLeft w:val="2520"/>
          <w:marRight w:val="0"/>
          <w:marTop w:val="77"/>
          <w:marBottom w:val="0"/>
          <w:divBdr>
            <w:top w:val="none" w:sz="0" w:space="0" w:color="auto"/>
            <w:left w:val="none" w:sz="0" w:space="0" w:color="auto"/>
            <w:bottom w:val="none" w:sz="0" w:space="0" w:color="auto"/>
            <w:right w:val="none" w:sz="0" w:space="0" w:color="auto"/>
          </w:divBdr>
        </w:div>
        <w:div w:id="1082214046">
          <w:marLeft w:val="1800"/>
          <w:marRight w:val="0"/>
          <w:marTop w:val="96"/>
          <w:marBottom w:val="0"/>
          <w:divBdr>
            <w:top w:val="none" w:sz="0" w:space="0" w:color="auto"/>
            <w:left w:val="none" w:sz="0" w:space="0" w:color="auto"/>
            <w:bottom w:val="none" w:sz="0" w:space="0" w:color="auto"/>
            <w:right w:val="none" w:sz="0" w:space="0" w:color="auto"/>
          </w:divBdr>
        </w:div>
        <w:div w:id="850291151">
          <w:marLeft w:val="2520"/>
          <w:marRight w:val="0"/>
          <w:marTop w:val="77"/>
          <w:marBottom w:val="0"/>
          <w:divBdr>
            <w:top w:val="none" w:sz="0" w:space="0" w:color="auto"/>
            <w:left w:val="none" w:sz="0" w:space="0" w:color="auto"/>
            <w:bottom w:val="none" w:sz="0" w:space="0" w:color="auto"/>
            <w:right w:val="none" w:sz="0" w:space="0" w:color="auto"/>
          </w:divBdr>
        </w:div>
        <w:div w:id="337732820">
          <w:marLeft w:val="2520"/>
          <w:marRight w:val="0"/>
          <w:marTop w:val="77"/>
          <w:marBottom w:val="0"/>
          <w:divBdr>
            <w:top w:val="none" w:sz="0" w:space="0" w:color="auto"/>
            <w:left w:val="none" w:sz="0" w:space="0" w:color="auto"/>
            <w:bottom w:val="none" w:sz="0" w:space="0" w:color="auto"/>
            <w:right w:val="none" w:sz="0" w:space="0" w:color="auto"/>
          </w:divBdr>
        </w:div>
        <w:div w:id="516773327">
          <w:marLeft w:val="2520"/>
          <w:marRight w:val="0"/>
          <w:marTop w:val="77"/>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472337713">
      <w:bodyDiv w:val="1"/>
      <w:marLeft w:val="0"/>
      <w:marRight w:val="0"/>
      <w:marTop w:val="0"/>
      <w:marBottom w:val="0"/>
      <w:divBdr>
        <w:top w:val="none" w:sz="0" w:space="0" w:color="auto"/>
        <w:left w:val="none" w:sz="0" w:space="0" w:color="auto"/>
        <w:bottom w:val="none" w:sz="0" w:space="0" w:color="auto"/>
        <w:right w:val="none" w:sz="0" w:space="0" w:color="auto"/>
      </w:divBdr>
    </w:div>
    <w:div w:id="755899841">
      <w:bodyDiv w:val="1"/>
      <w:marLeft w:val="0"/>
      <w:marRight w:val="0"/>
      <w:marTop w:val="0"/>
      <w:marBottom w:val="0"/>
      <w:divBdr>
        <w:top w:val="none" w:sz="0" w:space="0" w:color="auto"/>
        <w:left w:val="none" w:sz="0" w:space="0" w:color="auto"/>
        <w:bottom w:val="none" w:sz="0" w:space="0" w:color="auto"/>
        <w:right w:val="none" w:sz="0" w:space="0" w:color="auto"/>
      </w:divBdr>
      <w:divsChild>
        <w:div w:id="233468931">
          <w:marLeft w:val="1800"/>
          <w:marRight w:val="0"/>
          <w:marTop w:val="100"/>
          <w:marBottom w:val="0"/>
          <w:divBdr>
            <w:top w:val="none" w:sz="0" w:space="0" w:color="auto"/>
            <w:left w:val="none" w:sz="0" w:space="0" w:color="auto"/>
            <w:bottom w:val="none" w:sz="0" w:space="0" w:color="auto"/>
            <w:right w:val="none" w:sz="0" w:space="0" w:color="auto"/>
          </w:divBdr>
        </w:div>
        <w:div w:id="867259639">
          <w:marLeft w:val="1800"/>
          <w:marRight w:val="0"/>
          <w:marTop w:val="100"/>
          <w:marBottom w:val="0"/>
          <w:divBdr>
            <w:top w:val="none" w:sz="0" w:space="0" w:color="auto"/>
            <w:left w:val="none" w:sz="0" w:space="0" w:color="auto"/>
            <w:bottom w:val="none" w:sz="0" w:space="0" w:color="auto"/>
            <w:right w:val="none" w:sz="0" w:space="0" w:color="auto"/>
          </w:divBdr>
        </w:div>
      </w:divsChild>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297447525">
      <w:bodyDiv w:val="1"/>
      <w:marLeft w:val="0"/>
      <w:marRight w:val="0"/>
      <w:marTop w:val="0"/>
      <w:marBottom w:val="0"/>
      <w:divBdr>
        <w:top w:val="none" w:sz="0" w:space="0" w:color="auto"/>
        <w:left w:val="none" w:sz="0" w:space="0" w:color="auto"/>
        <w:bottom w:val="none" w:sz="0" w:space="0" w:color="auto"/>
        <w:right w:val="none" w:sz="0" w:space="0" w:color="auto"/>
      </w:divBdr>
    </w:div>
    <w:div w:id="1345664202">
      <w:bodyDiv w:val="1"/>
      <w:marLeft w:val="0"/>
      <w:marRight w:val="0"/>
      <w:marTop w:val="0"/>
      <w:marBottom w:val="0"/>
      <w:divBdr>
        <w:top w:val="none" w:sz="0" w:space="0" w:color="auto"/>
        <w:left w:val="none" w:sz="0" w:space="0" w:color="auto"/>
        <w:bottom w:val="none" w:sz="0" w:space="0" w:color="auto"/>
        <w:right w:val="none" w:sz="0" w:space="0" w:color="auto"/>
      </w:divBdr>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 w:id="1968966352">
      <w:bodyDiv w:val="1"/>
      <w:marLeft w:val="0"/>
      <w:marRight w:val="0"/>
      <w:marTop w:val="0"/>
      <w:marBottom w:val="0"/>
      <w:divBdr>
        <w:top w:val="none" w:sz="0" w:space="0" w:color="auto"/>
        <w:left w:val="none" w:sz="0" w:space="0" w:color="auto"/>
        <w:bottom w:val="none" w:sz="0" w:space="0" w:color="auto"/>
        <w:right w:val="none" w:sz="0" w:space="0" w:color="auto"/>
      </w:divBdr>
    </w:div>
    <w:div w:id="1986348644">
      <w:bodyDiv w:val="1"/>
      <w:marLeft w:val="0"/>
      <w:marRight w:val="0"/>
      <w:marTop w:val="0"/>
      <w:marBottom w:val="0"/>
      <w:divBdr>
        <w:top w:val="none" w:sz="0" w:space="0" w:color="auto"/>
        <w:left w:val="none" w:sz="0" w:space="0" w:color="auto"/>
        <w:bottom w:val="none" w:sz="0" w:space="0" w:color="auto"/>
        <w:right w:val="none" w:sz="0" w:space="0" w:color="auto"/>
      </w:divBdr>
    </w:div>
    <w:div w:id="209539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3.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955EB-B890-4D08-A01C-F3FE1D60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3GPP3.dotx</Template>
  <TotalTime>1058</TotalTime>
  <Pages>3</Pages>
  <Words>1041</Words>
  <Characters>5937</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Yuta Oguma</cp:lastModifiedBy>
  <cp:revision>206</cp:revision>
  <dcterms:created xsi:type="dcterms:W3CDTF">2020-02-03T09:35:00Z</dcterms:created>
  <dcterms:modified xsi:type="dcterms:W3CDTF">2020-04-10T23:45:00Z</dcterms:modified>
</cp:coreProperties>
</file>